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ACAF" w14:textId="77777777" w:rsidR="00451A38" w:rsidRDefault="00A275AD">
      <w:pPr>
        <w:shd w:val="clear" w:color="auto" w:fill="008751"/>
        <w:ind w:left="120" w:right="120"/>
      </w:pPr>
      <w:r>
        <w:rPr>
          <w:b/>
          <w:bCs/>
          <w:color w:val="1A1A1A"/>
          <w:sz w:val="30"/>
          <w:szCs w:val="30"/>
        </w:rPr>
        <w:t>NIGERIA'S ASSET INTEGRITY PARTNER</w:t>
      </w:r>
    </w:p>
    <w:p w14:paraId="2A035AD1" w14:textId="77777777" w:rsidR="00451A38" w:rsidRDefault="00A275AD">
      <w:pPr>
        <w:shd w:val="clear" w:color="auto" w:fill="006B3F"/>
        <w:ind w:left="120" w:right="120"/>
      </w:pPr>
      <w:r>
        <w:rPr>
          <w:i/>
          <w:iCs/>
          <w:color w:val="FFFFFF"/>
          <w:sz w:val="17"/>
          <w:szCs w:val="17"/>
        </w:rPr>
        <w:t xml:space="preserve">Engineered Composite </w:t>
      </w:r>
      <w:proofErr w:type="gramStart"/>
      <w:r>
        <w:rPr>
          <w:i/>
          <w:iCs/>
          <w:color w:val="FFFFFF"/>
          <w:sz w:val="17"/>
          <w:szCs w:val="17"/>
        </w:rPr>
        <w:t>Repairs  ·</w:t>
      </w:r>
      <w:proofErr w:type="gramEnd"/>
      <w:r>
        <w:rPr>
          <w:i/>
          <w:iCs/>
          <w:color w:val="FFFFFF"/>
          <w:sz w:val="17"/>
          <w:szCs w:val="17"/>
        </w:rPr>
        <w:t xml:space="preserve">  Asset </w:t>
      </w:r>
      <w:proofErr w:type="gramStart"/>
      <w:r>
        <w:rPr>
          <w:i/>
          <w:iCs/>
          <w:color w:val="FFFFFF"/>
          <w:sz w:val="17"/>
          <w:szCs w:val="17"/>
        </w:rPr>
        <w:t>Inspection  ·</w:t>
      </w:r>
      <w:proofErr w:type="gramEnd"/>
      <w:r>
        <w:rPr>
          <w:i/>
          <w:iCs/>
          <w:color w:val="FFFFFF"/>
          <w:sz w:val="17"/>
          <w:szCs w:val="17"/>
        </w:rPr>
        <w:t xml:space="preserve">  </w:t>
      </w:r>
      <w:proofErr w:type="gramStart"/>
      <w:r>
        <w:rPr>
          <w:i/>
          <w:iCs/>
          <w:color w:val="FFFFFF"/>
          <w:sz w:val="17"/>
          <w:szCs w:val="17"/>
        </w:rPr>
        <w:t>Manpower  ·</w:t>
      </w:r>
      <w:proofErr w:type="gramEnd"/>
      <w:r>
        <w:rPr>
          <w:i/>
          <w:iCs/>
          <w:color w:val="FFFFFF"/>
          <w:sz w:val="17"/>
          <w:szCs w:val="17"/>
        </w:rPr>
        <w:t xml:space="preserve">  Procurement</w:t>
      </w:r>
    </w:p>
    <w:p w14:paraId="5DBFC1F7" w14:textId="77777777" w:rsidR="00451A38" w:rsidRDefault="00451A38">
      <w:pPr>
        <w:spacing w:after="200"/>
      </w:pPr>
    </w:p>
    <w:p w14:paraId="208109DB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WHO WE ARE</w:t>
      </w:r>
    </w:p>
    <w:p w14:paraId="1163EA55" w14:textId="77777777" w:rsidR="00451A38" w:rsidRDefault="00451A38">
      <w:pPr>
        <w:spacing w:after="80"/>
      </w:pPr>
    </w:p>
    <w:p w14:paraId="41217534" w14:textId="77777777" w:rsidR="00451A38" w:rsidRDefault="00A275AD">
      <w:pPr>
        <w:spacing w:before="60" w:after="60"/>
      </w:pPr>
      <w:proofErr w:type="spellStart"/>
      <w:r>
        <w:t>Ayewo</w:t>
      </w:r>
      <w:proofErr w:type="spellEnd"/>
      <w:r>
        <w:t xml:space="preserve"> </w:t>
      </w:r>
      <w:proofErr w:type="spellStart"/>
      <w:r>
        <w:t>Atunse</w:t>
      </w:r>
      <w:proofErr w:type="spellEnd"/>
      <w:r>
        <w:t xml:space="preserve"> Oil &amp; Gas Services Ltd is a Nigerian-incorporated asset integrity company delivering class-approved engineered composite repair and inspection services to the upstream and midstream oil and gas sector in Nigeria.</w:t>
      </w:r>
    </w:p>
    <w:p w14:paraId="3B9A19D1" w14:textId="211D8D49" w:rsidR="00451A38" w:rsidRDefault="00A275AD">
      <w:pPr>
        <w:spacing w:before="60" w:after="60"/>
      </w:pPr>
      <w:r>
        <w:t xml:space="preserve">We are the authorised Nigerian representative for </w:t>
      </w:r>
      <w:proofErr w:type="spellStart"/>
      <w:r>
        <w:t>ICR's</w:t>
      </w:r>
      <w:proofErr w:type="spellEnd"/>
      <w:r>
        <w:t xml:space="preserve"> </w:t>
      </w:r>
      <w:proofErr w:type="spellStart"/>
      <w:r>
        <w:t>Technowrap</w:t>
      </w:r>
      <w:proofErr w:type="spellEnd"/>
      <w:r>
        <w:t>™ engineered composite repair system</w:t>
      </w:r>
      <w:r w:rsidR="00B439A4">
        <w:t>,</w:t>
      </w:r>
      <w:r>
        <w:t xml:space="preserve"> a technology with over 20 years of global deployment history, qualified to ISO 24817 and ASME PCC-2, and independently approved by ABS, DNV, and Lloyds Register. Our model replicates the proven ICR delivery </w:t>
      </w:r>
      <w:proofErr w:type="gramStart"/>
      <w:r>
        <w:t xml:space="preserve">framework </w:t>
      </w:r>
      <w:r w:rsidR="00B439A4">
        <w:t>,</w:t>
      </w:r>
      <w:r>
        <w:t>adapted</w:t>
      </w:r>
      <w:proofErr w:type="gramEnd"/>
      <w:r>
        <w:t>, structured, and operated by a Nigerian entity for Nigerian operators.</w:t>
      </w:r>
    </w:p>
    <w:p w14:paraId="21DD3D2C" w14:textId="77777777" w:rsidR="00451A38" w:rsidRDefault="00A275AD">
      <w:pPr>
        <w:spacing w:before="60" w:after="60"/>
      </w:pPr>
      <w:r>
        <w:t>We bring class-approved technology, international engineering expertise, and a 24-hour emergency response capability, all delivered under a fully NOGICD-compliant Nigerian entity. Every contract dollar stays in Nigeria.</w:t>
      </w:r>
    </w:p>
    <w:p w14:paraId="3F807715" w14:textId="77777777" w:rsidR="00451A38" w:rsidRDefault="00451A38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8866"/>
      </w:tblGrid>
      <w:tr w:rsidR="00451A38" w14:paraId="68CC4EF2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751"/>
          </w:tcPr>
          <w:p w14:paraId="3E654003" w14:textId="77777777" w:rsidR="00451A38" w:rsidRDefault="00451A38"/>
        </w:tc>
        <w:tc>
          <w:tcPr>
            <w:tcW w:w="8866" w:type="dxa"/>
            <w:tcBorders>
              <w:top w:val="none" w:sz="0" w:space="0" w:color="FFFFFF"/>
              <w:left w:val="single" w:sz="12" w:space="0" w:color="008751"/>
              <w:bottom w:val="none" w:sz="0" w:space="0" w:color="FFFFFF"/>
              <w:right w:val="none" w:sz="0" w:space="0" w:color="FFFFFF"/>
            </w:tcBorders>
            <w:shd w:val="clear" w:color="auto" w:fill="E6F4ED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D5595B2" w14:textId="77777777" w:rsidR="00451A38" w:rsidRDefault="00A275AD">
            <w:r>
              <w:rPr>
                <w:b/>
                <w:bCs/>
                <w:color w:val="008751"/>
              </w:rPr>
              <w:t>Nigerian Content — Your Compliance Advantage</w:t>
            </w:r>
          </w:p>
          <w:p w14:paraId="675CA900" w14:textId="7CCBABD4" w:rsidR="00451A38" w:rsidRDefault="00A275AD">
            <w:pPr>
              <w:spacing w:before="60"/>
            </w:pPr>
            <w:r>
              <w:rPr>
                <w:sz w:val="19"/>
                <w:szCs w:val="19"/>
              </w:rPr>
              <w:t xml:space="preserve">Under the Nigeria Oil and Gas Industry Content Development (NOGICD) Act, operators are required to demonstrate measurable Nigerian Content in services delivered to their assets. </w:t>
            </w:r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is a Nigerian-registered entity delivering class-approved asset integrity services. Operators who engage </w:t>
            </w:r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book 100% of the spend as Nigerian Content with no compromise on technology quality, class approval, or engineering rigour.</w:t>
            </w:r>
          </w:p>
        </w:tc>
      </w:tr>
    </w:tbl>
    <w:p w14:paraId="00FD93FA" w14:textId="77777777" w:rsidR="00451A38" w:rsidRDefault="00451A38">
      <w:pPr>
        <w:spacing w:after="200"/>
      </w:pPr>
    </w:p>
    <w:p w14:paraId="1B228D2D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COMPANY CREDENTIALS</w:t>
      </w:r>
    </w:p>
    <w:p w14:paraId="178EC966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451A38" w14:paraId="522CBAB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1090F" w14:textId="77777777" w:rsidR="00451A38" w:rsidRDefault="00A275AD">
            <w:r>
              <w:rPr>
                <w:b/>
                <w:bCs/>
                <w:sz w:val="19"/>
                <w:szCs w:val="19"/>
              </w:rPr>
              <w:t>Legal Entity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57314" w14:textId="77777777" w:rsidR="00451A38" w:rsidRDefault="00A275AD"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Oil &amp; Gas Services Ltd</w:t>
            </w:r>
          </w:p>
        </w:tc>
      </w:tr>
      <w:tr w:rsidR="00451A38" w14:paraId="77C27FE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36FB9" w14:textId="77777777" w:rsidR="00451A38" w:rsidRDefault="00A275AD">
            <w:r>
              <w:rPr>
                <w:b/>
                <w:bCs/>
                <w:sz w:val="19"/>
                <w:szCs w:val="19"/>
              </w:rPr>
              <w:t>RC Number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1C800" w14:textId="77777777" w:rsidR="00451A38" w:rsidRDefault="00A275AD">
            <w:r>
              <w:rPr>
                <w:sz w:val="19"/>
                <w:szCs w:val="19"/>
              </w:rPr>
              <w:t>RC 9477114</w:t>
            </w:r>
          </w:p>
        </w:tc>
      </w:tr>
      <w:tr w:rsidR="00451A38" w14:paraId="64DE979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12A23" w14:textId="77777777" w:rsidR="00451A38" w:rsidRDefault="00A275AD">
            <w:r>
              <w:rPr>
                <w:b/>
                <w:bCs/>
                <w:sz w:val="19"/>
                <w:szCs w:val="19"/>
              </w:rPr>
              <w:t>TIN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A7886" w14:textId="77777777" w:rsidR="00451A38" w:rsidRDefault="00A275AD">
            <w:r>
              <w:rPr>
                <w:sz w:val="19"/>
                <w:szCs w:val="19"/>
              </w:rPr>
              <w:t>2622459761515</w:t>
            </w:r>
          </w:p>
        </w:tc>
      </w:tr>
      <w:tr w:rsidR="00451A38" w14:paraId="3334326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AD080" w14:textId="77777777" w:rsidR="00451A38" w:rsidRDefault="00A275AD">
            <w:r>
              <w:rPr>
                <w:b/>
                <w:bCs/>
                <w:sz w:val="19"/>
                <w:szCs w:val="19"/>
              </w:rPr>
              <w:t>Incorporated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DAB5E" w14:textId="7591661E" w:rsidR="00451A38" w:rsidRDefault="00A275AD">
            <w:r>
              <w:rPr>
                <w:sz w:val="19"/>
                <w:szCs w:val="19"/>
              </w:rPr>
              <w:t xml:space="preserve">April </w:t>
            </w:r>
            <w:proofErr w:type="gramStart"/>
            <w:r>
              <w:rPr>
                <w:sz w:val="19"/>
                <w:szCs w:val="19"/>
              </w:rPr>
              <w:t>2026  Lagos</w:t>
            </w:r>
            <w:proofErr w:type="gramEnd"/>
            <w:r>
              <w:rPr>
                <w:sz w:val="19"/>
                <w:szCs w:val="19"/>
              </w:rPr>
              <w:t>, Nigeria</w:t>
            </w:r>
          </w:p>
        </w:tc>
      </w:tr>
      <w:tr w:rsidR="00451A38" w14:paraId="506E5E9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F7468" w14:textId="77777777" w:rsidR="00451A38" w:rsidRDefault="00A275AD">
            <w:r>
              <w:rPr>
                <w:b/>
                <w:bCs/>
                <w:sz w:val="19"/>
                <w:szCs w:val="19"/>
              </w:rPr>
              <w:t>Office Address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1C0CD" w14:textId="77777777" w:rsidR="00451A38" w:rsidRDefault="00A275AD">
            <w:r>
              <w:rPr>
                <w:sz w:val="19"/>
                <w:szCs w:val="19"/>
              </w:rPr>
              <w:t xml:space="preserve">28 Sikiru </w:t>
            </w:r>
            <w:proofErr w:type="spellStart"/>
            <w:r>
              <w:rPr>
                <w:sz w:val="19"/>
                <w:szCs w:val="19"/>
              </w:rPr>
              <w:t>Oloko</w:t>
            </w:r>
            <w:proofErr w:type="spellEnd"/>
            <w:r>
              <w:rPr>
                <w:sz w:val="19"/>
                <w:szCs w:val="19"/>
              </w:rPr>
              <w:t xml:space="preserve"> Alade Street, Lagos, Nigeria</w:t>
            </w:r>
          </w:p>
        </w:tc>
      </w:tr>
      <w:tr w:rsidR="00451A38" w14:paraId="4D76B86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00387" w14:textId="77777777" w:rsidR="00451A38" w:rsidRDefault="00A275AD">
            <w:r>
              <w:rPr>
                <w:b/>
                <w:bCs/>
                <w:sz w:val="19"/>
                <w:szCs w:val="19"/>
              </w:rPr>
              <w:t>Technology Partner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413C2" w14:textId="77777777" w:rsidR="00451A38" w:rsidRDefault="00A275AD">
            <w:r>
              <w:rPr>
                <w:sz w:val="19"/>
                <w:szCs w:val="19"/>
              </w:rPr>
              <w:t>ICR — Integrated Maintenance &amp; Integrity Solutions (Aberdeen, UK)</w:t>
            </w:r>
          </w:p>
        </w:tc>
      </w:tr>
      <w:tr w:rsidR="00451A38" w14:paraId="06552B6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DAA86" w14:textId="77777777" w:rsidR="00451A38" w:rsidRDefault="00A275AD">
            <w:r>
              <w:rPr>
                <w:b/>
                <w:bCs/>
                <w:sz w:val="19"/>
                <w:szCs w:val="19"/>
              </w:rPr>
              <w:t>Technology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3C5B8" w14:textId="77777777" w:rsidR="00451A38" w:rsidRDefault="00A275AD"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>™ Engineered Composite Repair System</w:t>
            </w:r>
          </w:p>
        </w:tc>
      </w:tr>
      <w:tr w:rsidR="00451A38" w14:paraId="71616D9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E6570" w14:textId="77777777" w:rsidR="00451A38" w:rsidRDefault="00A275AD">
            <w:r>
              <w:rPr>
                <w:b/>
                <w:bCs/>
                <w:sz w:val="19"/>
                <w:szCs w:val="19"/>
              </w:rPr>
              <w:t>HSE Framework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361F75" w14:textId="0A18D433" w:rsidR="00451A38" w:rsidRDefault="00A275AD">
            <w:r>
              <w:rPr>
                <w:sz w:val="19"/>
                <w:szCs w:val="19"/>
              </w:rPr>
              <w:t>ICR HSEQ Management System ISO 9001 aligned</w:t>
            </w:r>
          </w:p>
        </w:tc>
      </w:tr>
      <w:tr w:rsidR="00451A38" w14:paraId="2B7677A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652DD" w14:textId="77777777" w:rsidR="00451A38" w:rsidRDefault="00A275AD">
            <w:r>
              <w:rPr>
                <w:b/>
                <w:bCs/>
                <w:sz w:val="19"/>
                <w:szCs w:val="19"/>
              </w:rPr>
              <w:t>ERP System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5AF65" w14:textId="77777777" w:rsidR="00451A38" w:rsidRDefault="00A275AD">
            <w:r>
              <w:rPr>
                <w:sz w:val="19"/>
                <w:szCs w:val="19"/>
              </w:rPr>
              <w:t>Odoo — live</w:t>
            </w:r>
          </w:p>
        </w:tc>
      </w:tr>
    </w:tbl>
    <w:p w14:paraId="7AD82F54" w14:textId="77777777" w:rsidR="00451A38" w:rsidRDefault="00451A3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8"/>
      </w:tblGrid>
      <w:tr w:rsidR="00451A38" w14:paraId="5CE9E0C1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75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9CB388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20+</w:t>
            </w:r>
          </w:p>
          <w:p w14:paraId="60A058B9" w14:textId="77777777" w:rsidR="00451A38" w:rsidRDefault="00A275AD">
            <w:pPr>
              <w:jc w:val="center"/>
            </w:pPr>
            <w:r>
              <w:rPr>
                <w:color w:val="C8E6D5"/>
                <w:sz w:val="16"/>
                <w:szCs w:val="16"/>
              </w:rPr>
              <w:t>Years ICR Global Experience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75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7895C4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  <w:p w14:paraId="67162A89" w14:textId="77777777" w:rsidR="00451A38" w:rsidRDefault="00A275AD">
            <w:pPr>
              <w:jc w:val="center"/>
            </w:pPr>
            <w:r>
              <w:rPr>
                <w:color w:val="C8E6D5"/>
                <w:sz w:val="16"/>
                <w:szCs w:val="16"/>
              </w:rPr>
              <w:t>Class Approvals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75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6ABBA9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-75°C to 220°C</w:t>
            </w:r>
          </w:p>
          <w:p w14:paraId="11AE36D6" w14:textId="77777777" w:rsidR="00451A38" w:rsidRDefault="00A275AD">
            <w:pPr>
              <w:jc w:val="center"/>
            </w:pPr>
            <w:r>
              <w:rPr>
                <w:color w:val="C8E6D5"/>
                <w:sz w:val="16"/>
                <w:szCs w:val="16"/>
              </w:rPr>
              <w:t>Temp Range</w:t>
            </w:r>
          </w:p>
        </w:tc>
        <w:tc>
          <w:tcPr>
            <w:tcW w:w="22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75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7A6D8E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20 Yrs</w:t>
            </w:r>
          </w:p>
          <w:p w14:paraId="6AC9DB2B" w14:textId="77777777" w:rsidR="00451A38" w:rsidRDefault="00A275AD">
            <w:pPr>
              <w:jc w:val="center"/>
            </w:pPr>
            <w:r>
              <w:rPr>
                <w:color w:val="C8E6D5"/>
                <w:sz w:val="16"/>
                <w:szCs w:val="16"/>
              </w:rPr>
              <w:t>Max Design Life</w:t>
            </w:r>
          </w:p>
        </w:tc>
      </w:tr>
    </w:tbl>
    <w:p w14:paraId="136027C1" w14:textId="77777777" w:rsidR="00451A38" w:rsidRDefault="00A275AD">
      <w:r>
        <w:br w:type="page"/>
      </w:r>
    </w:p>
    <w:p w14:paraId="6AE1D035" w14:textId="77777777" w:rsidR="00451A38" w:rsidRDefault="00A275AD">
      <w:pPr>
        <w:shd w:val="clear" w:color="auto" w:fill="008751"/>
        <w:ind w:left="120" w:right="120"/>
      </w:pPr>
      <w:r>
        <w:rPr>
          <w:b/>
          <w:bCs/>
          <w:color w:val="00A85D"/>
          <w:sz w:val="26"/>
          <w:szCs w:val="26"/>
        </w:rPr>
        <w:lastRenderedPageBreak/>
        <w:t>TECHNOWRAP™ ENGINEERED COMPOSITE REPAIRS</w:t>
      </w:r>
    </w:p>
    <w:p w14:paraId="73FD6AD3" w14:textId="77777777" w:rsidR="00451A38" w:rsidRDefault="00A275AD">
      <w:pPr>
        <w:shd w:val="clear" w:color="auto" w:fill="006B3F"/>
        <w:ind w:left="120" w:right="120"/>
      </w:pPr>
      <w:r>
        <w:rPr>
          <w:i/>
          <w:iCs/>
          <w:color w:val="FFFFFF"/>
          <w:sz w:val="17"/>
          <w:szCs w:val="17"/>
        </w:rPr>
        <w:t>Bespoke · Class-Approved · Live Repair · No Shutdown Required</w:t>
      </w:r>
    </w:p>
    <w:p w14:paraId="5BF81E4E" w14:textId="77777777" w:rsidR="00451A38" w:rsidRDefault="00451A38">
      <w:pPr>
        <w:spacing w:after="160"/>
      </w:pPr>
    </w:p>
    <w:p w14:paraId="58AF87B4" w14:textId="1DBCCF39" w:rsidR="00451A38" w:rsidRDefault="00A275AD">
      <w:pPr>
        <w:spacing w:before="60" w:after="60"/>
      </w:pPr>
      <w:proofErr w:type="spellStart"/>
      <w:r>
        <w:t>Technowrap</w:t>
      </w:r>
      <w:proofErr w:type="spellEnd"/>
      <w:r>
        <w:t xml:space="preserve">™ is a fully engineered composite repair system using glass or carbon fibre stitched cloths with two-part epoxy resins. Every repair is designed per asset not off-the-shelf by </w:t>
      </w:r>
      <w:proofErr w:type="spellStart"/>
      <w:r>
        <w:t>ICR's</w:t>
      </w:r>
      <w:proofErr w:type="spellEnd"/>
      <w:r>
        <w:t xml:space="preserve"> engineering team to a defined design life of up to 20 years. In most cases, repairs are applied live under full production with no shutdown and no hot work permit required.</w:t>
      </w:r>
    </w:p>
    <w:p w14:paraId="60F5D769" w14:textId="77777777" w:rsidR="00451A38" w:rsidRDefault="00451A38">
      <w:pPr>
        <w:spacing w:after="80"/>
      </w:pPr>
    </w:p>
    <w:p w14:paraId="5255BAE0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DESIGN ENVELOPE</w:t>
      </w:r>
    </w:p>
    <w:p w14:paraId="3DEEF426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426"/>
      </w:tblGrid>
      <w:tr w:rsidR="00451A38" w14:paraId="7AEE3D23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1319284E" w14:textId="77777777" w:rsidR="00451A38" w:rsidRDefault="00A275AD">
            <w:r>
              <w:rPr>
                <w:b/>
                <w:bCs/>
                <w:color w:val="FFFFFF"/>
                <w:sz w:val="19"/>
                <w:szCs w:val="19"/>
              </w:rPr>
              <w:t>Temperature Range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472BEB49" w14:textId="48DD0090" w:rsidR="00451A38" w:rsidRDefault="00A275AD">
            <w:r>
              <w:rPr>
                <w:b/>
                <w:color w:val="FFFFFF"/>
                <w:sz w:val="19"/>
                <w:szCs w:val="19"/>
              </w:rPr>
              <w:t>-75°C to 220°</w:t>
            </w:r>
            <w:r w:rsidR="00B439A4">
              <w:rPr>
                <w:b/>
                <w:color w:val="FFFFFF"/>
                <w:sz w:val="19"/>
                <w:szCs w:val="19"/>
              </w:rPr>
              <w:t xml:space="preserve">C </w:t>
            </w:r>
            <w:proofErr w:type="gramStart"/>
            <w:r w:rsidR="00B439A4">
              <w:rPr>
                <w:b/>
                <w:color w:val="FFFFFF"/>
                <w:sz w:val="19"/>
                <w:szCs w:val="19"/>
              </w:rPr>
              <w:t>/</w:t>
            </w:r>
            <w:r>
              <w:rPr>
                <w:b/>
                <w:color w:val="FFFFFF"/>
                <w:sz w:val="19"/>
                <w:szCs w:val="19"/>
              </w:rPr>
              <w:t xml:space="preserve">  -</w:t>
            </w:r>
            <w:proofErr w:type="gramEnd"/>
            <w:r>
              <w:rPr>
                <w:b/>
                <w:color w:val="FFFFFF"/>
                <w:sz w:val="19"/>
                <w:szCs w:val="19"/>
              </w:rPr>
              <w:t>103°F to 428°F</w:t>
            </w:r>
          </w:p>
        </w:tc>
      </w:tr>
      <w:tr w:rsidR="00451A38" w14:paraId="1AB05FAC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C5DF4" w14:textId="77777777" w:rsidR="00451A38" w:rsidRDefault="00A275AD">
            <w:r>
              <w:rPr>
                <w:b/>
                <w:bCs/>
                <w:sz w:val="19"/>
                <w:szCs w:val="19"/>
              </w:rPr>
              <w:t>Pressure Rating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D2565" w14:textId="77777777" w:rsidR="00451A38" w:rsidRDefault="00A275AD">
            <w:r>
              <w:rPr>
                <w:sz w:val="19"/>
                <w:szCs w:val="19"/>
              </w:rPr>
              <w:t xml:space="preserve">Tested to 1,400 </w:t>
            </w:r>
            <w:proofErr w:type="spellStart"/>
            <w:proofErr w:type="gramStart"/>
            <w:r>
              <w:rPr>
                <w:sz w:val="19"/>
                <w:szCs w:val="19"/>
              </w:rPr>
              <w:t>BarG</w:t>
            </w:r>
            <w:proofErr w:type="spellEnd"/>
            <w:r>
              <w:rPr>
                <w:sz w:val="19"/>
                <w:szCs w:val="19"/>
              </w:rPr>
              <w:t xml:space="preserve">  /</w:t>
            </w:r>
            <w:proofErr w:type="gramEnd"/>
            <w:r>
              <w:rPr>
                <w:sz w:val="19"/>
                <w:szCs w:val="19"/>
              </w:rPr>
              <w:t xml:space="preserve">  20,305 PSI</w:t>
            </w:r>
          </w:p>
        </w:tc>
      </w:tr>
      <w:tr w:rsidR="00451A38" w14:paraId="7623A9B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30400" w14:textId="77777777" w:rsidR="00451A38" w:rsidRDefault="00A275AD">
            <w:r>
              <w:rPr>
                <w:b/>
                <w:bCs/>
                <w:sz w:val="19"/>
                <w:szCs w:val="19"/>
              </w:rPr>
              <w:t>Design Life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D6EE2" w14:textId="377366FD" w:rsidR="00451A38" w:rsidRDefault="00A275AD">
            <w:r>
              <w:rPr>
                <w:sz w:val="19"/>
                <w:szCs w:val="19"/>
              </w:rPr>
              <w:t xml:space="preserve">Up to 20 </w:t>
            </w:r>
            <w:r w:rsidR="00B439A4">
              <w:rPr>
                <w:sz w:val="19"/>
                <w:szCs w:val="19"/>
              </w:rPr>
              <w:t>years engineered</w:t>
            </w:r>
            <w:r>
              <w:rPr>
                <w:sz w:val="19"/>
                <w:szCs w:val="19"/>
              </w:rPr>
              <w:t xml:space="preserve"> per asset</w:t>
            </w:r>
          </w:p>
        </w:tc>
      </w:tr>
      <w:tr w:rsidR="00451A38" w14:paraId="75BB1DB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3CF77" w14:textId="77777777" w:rsidR="00451A38" w:rsidRDefault="00A275AD">
            <w:r>
              <w:rPr>
                <w:b/>
                <w:bCs/>
                <w:sz w:val="19"/>
                <w:szCs w:val="19"/>
              </w:rPr>
              <w:t>Substrates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AE25E" w14:textId="77777777" w:rsidR="00451A38" w:rsidRDefault="00A275AD">
            <w:r>
              <w:rPr>
                <w:sz w:val="19"/>
                <w:szCs w:val="19"/>
              </w:rPr>
              <w:t xml:space="preserve">Carbon steel · Stainless steel · Duplex · Super Duplex · </w:t>
            </w:r>
            <w:proofErr w:type="spellStart"/>
            <w:r>
              <w:rPr>
                <w:sz w:val="19"/>
                <w:szCs w:val="19"/>
              </w:rPr>
              <w:t>Cunifer</w:t>
            </w:r>
            <w:proofErr w:type="spellEnd"/>
            <w:r>
              <w:rPr>
                <w:sz w:val="19"/>
                <w:szCs w:val="19"/>
              </w:rPr>
              <w:t xml:space="preserve"> · Titanium · GRP</w:t>
            </w:r>
          </w:p>
        </w:tc>
      </w:tr>
      <w:tr w:rsidR="00451A38" w14:paraId="3D925AB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EFE92" w14:textId="77777777" w:rsidR="00451A38" w:rsidRDefault="00A275AD">
            <w:r>
              <w:rPr>
                <w:b/>
                <w:bCs/>
                <w:sz w:val="19"/>
                <w:szCs w:val="19"/>
              </w:rPr>
              <w:t>Surface Preparation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28F6D7" w14:textId="77777777" w:rsidR="00451A38" w:rsidRDefault="00A275AD">
            <w:r>
              <w:rPr>
                <w:sz w:val="19"/>
                <w:szCs w:val="19"/>
              </w:rPr>
              <w:t>SA2.5 (NACE No. 2), ST3, ST2</w:t>
            </w:r>
          </w:p>
        </w:tc>
      </w:tr>
      <w:tr w:rsidR="00451A38" w14:paraId="6897D1F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FED30" w14:textId="77777777" w:rsidR="00451A38" w:rsidRDefault="00A275AD">
            <w:r>
              <w:rPr>
                <w:b/>
                <w:bCs/>
                <w:sz w:val="19"/>
                <w:szCs w:val="19"/>
              </w:rPr>
              <w:t>Structural Load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B0CD3" w14:textId="77777777" w:rsidR="00451A38" w:rsidRDefault="00A275AD">
            <w:r>
              <w:rPr>
                <w:sz w:val="19"/>
                <w:szCs w:val="19"/>
              </w:rPr>
              <w:t>In-plane load capacity: 180 N/mm</w:t>
            </w:r>
          </w:p>
        </w:tc>
      </w:tr>
      <w:tr w:rsidR="00451A38" w14:paraId="1ADE2B2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DFBD8" w14:textId="77777777" w:rsidR="00451A38" w:rsidRDefault="00A275AD">
            <w:r>
              <w:rPr>
                <w:b/>
                <w:bCs/>
                <w:sz w:val="19"/>
                <w:szCs w:val="19"/>
              </w:rPr>
              <w:t>Corrosion Types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935985" w14:textId="77777777" w:rsidR="00451A38" w:rsidRDefault="00A275AD">
            <w:r>
              <w:rPr>
                <w:sz w:val="19"/>
                <w:szCs w:val="19"/>
              </w:rPr>
              <w:t>Internal corrosion · External corrosion · Through-wall defects · Live leak sealing</w:t>
            </w:r>
          </w:p>
        </w:tc>
      </w:tr>
      <w:tr w:rsidR="00451A38" w14:paraId="3401A34D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AE105" w14:textId="77777777" w:rsidR="00451A38" w:rsidRDefault="00A275AD">
            <w:r>
              <w:rPr>
                <w:b/>
                <w:bCs/>
                <w:sz w:val="19"/>
                <w:szCs w:val="19"/>
              </w:rPr>
              <w:t>Geometry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752D7" w14:textId="2EEC2027" w:rsidR="00451A38" w:rsidRDefault="00A275AD">
            <w:r>
              <w:rPr>
                <w:sz w:val="19"/>
                <w:szCs w:val="19"/>
              </w:rPr>
              <w:t xml:space="preserve">Any geometry — bends, tees, flanges, vessels, I-beams, caissons, </w:t>
            </w:r>
            <w:r w:rsidR="00B439A4">
              <w:rPr>
                <w:sz w:val="19"/>
                <w:szCs w:val="19"/>
              </w:rPr>
              <w:t>splash zone</w:t>
            </w:r>
          </w:p>
        </w:tc>
      </w:tr>
    </w:tbl>
    <w:p w14:paraId="3DE2865C" w14:textId="77777777" w:rsidR="00451A38" w:rsidRDefault="00451A38">
      <w:pPr>
        <w:spacing w:after="160"/>
      </w:pPr>
    </w:p>
    <w:p w14:paraId="3649402E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CLASS APPROVALS &amp; STANDARDS</w:t>
      </w:r>
    </w:p>
    <w:p w14:paraId="332FE680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805"/>
        <w:gridCol w:w="1805"/>
        <w:gridCol w:w="1805"/>
        <w:gridCol w:w="1806"/>
      </w:tblGrid>
      <w:tr w:rsidR="00451A38" w14:paraId="32E95E2A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A8268" w14:textId="77777777" w:rsidR="00451A38" w:rsidRDefault="00A275AD">
            <w:pPr>
              <w:jc w:val="center"/>
            </w:pPr>
            <w:r>
              <w:rPr>
                <w:b/>
                <w:bCs/>
                <w:color w:val="008751"/>
              </w:rPr>
              <w:t>ISO 24817</w:t>
            </w:r>
          </w:p>
          <w:p w14:paraId="5B59BBAD" w14:textId="77777777" w:rsidR="00451A38" w:rsidRDefault="00A275AD">
            <w:pPr>
              <w:jc w:val="center"/>
            </w:pPr>
            <w:r>
              <w:rPr>
                <w:color w:val="666666"/>
                <w:sz w:val="16"/>
                <w:szCs w:val="16"/>
              </w:rPr>
              <w:t>Composite Repair Standard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CB45" w14:textId="77777777" w:rsidR="00451A38" w:rsidRDefault="00A275AD">
            <w:pPr>
              <w:jc w:val="center"/>
            </w:pPr>
            <w:r>
              <w:rPr>
                <w:b/>
                <w:bCs/>
                <w:color w:val="008751"/>
              </w:rPr>
              <w:t>ASME PCC-2</w:t>
            </w:r>
          </w:p>
          <w:p w14:paraId="3A5FCD5D" w14:textId="77777777" w:rsidR="00451A38" w:rsidRDefault="00A275AD">
            <w:pPr>
              <w:jc w:val="center"/>
            </w:pPr>
            <w:r>
              <w:rPr>
                <w:color w:val="666666"/>
                <w:sz w:val="16"/>
                <w:szCs w:val="16"/>
              </w:rPr>
              <w:t>Article 4.1 Qualified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64493" w14:textId="77777777" w:rsidR="00451A38" w:rsidRDefault="00A275AD">
            <w:pPr>
              <w:jc w:val="center"/>
            </w:pPr>
            <w:r>
              <w:rPr>
                <w:b/>
                <w:bCs/>
                <w:color w:val="008751"/>
              </w:rPr>
              <w:t>ABS</w:t>
            </w:r>
          </w:p>
          <w:p w14:paraId="7091826F" w14:textId="77777777" w:rsidR="00451A38" w:rsidRDefault="00A275AD"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Design &amp; </w:t>
            </w:r>
            <w:proofErr w:type="spellStart"/>
            <w:r>
              <w:rPr>
                <w:color w:val="666666"/>
                <w:sz w:val="16"/>
                <w:szCs w:val="16"/>
              </w:rPr>
              <w:t>Mfg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Approved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5BDA9" w14:textId="77777777" w:rsidR="00451A38" w:rsidRDefault="00A275AD">
            <w:pPr>
              <w:jc w:val="center"/>
            </w:pPr>
            <w:r>
              <w:rPr>
                <w:b/>
                <w:bCs/>
                <w:color w:val="008751"/>
              </w:rPr>
              <w:t>DNV</w:t>
            </w:r>
          </w:p>
          <w:p w14:paraId="2389AE13" w14:textId="77777777" w:rsidR="00451A38" w:rsidRDefault="00A275AD">
            <w:pPr>
              <w:jc w:val="center"/>
            </w:pPr>
            <w:r>
              <w:rPr>
                <w:color w:val="666666"/>
                <w:sz w:val="16"/>
                <w:szCs w:val="16"/>
              </w:rPr>
              <w:t>Type Examination Approved</w:t>
            </w:r>
          </w:p>
        </w:tc>
        <w:tc>
          <w:tcPr>
            <w:tcW w:w="1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7D2C9" w14:textId="77777777" w:rsidR="00451A38" w:rsidRDefault="00A275AD">
            <w:pPr>
              <w:jc w:val="center"/>
            </w:pPr>
            <w:r>
              <w:rPr>
                <w:b/>
                <w:bCs/>
                <w:color w:val="008751"/>
              </w:rPr>
              <w:t>Lloyds Register</w:t>
            </w:r>
          </w:p>
          <w:p w14:paraId="1F8E5897" w14:textId="77777777" w:rsidR="00451A38" w:rsidRDefault="00A275AD">
            <w:pPr>
              <w:jc w:val="center"/>
            </w:pPr>
            <w:r>
              <w:rPr>
                <w:color w:val="666666"/>
                <w:sz w:val="16"/>
                <w:szCs w:val="16"/>
              </w:rPr>
              <w:t>Type Approved</w:t>
            </w:r>
          </w:p>
        </w:tc>
      </w:tr>
    </w:tbl>
    <w:p w14:paraId="3DCE4BC6" w14:textId="77777777" w:rsidR="00451A38" w:rsidRDefault="00451A38">
      <w:pPr>
        <w:spacing w:after="160"/>
      </w:pPr>
    </w:p>
    <w:p w14:paraId="2E3DAE97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APPLICATION SCOPE</w:t>
      </w:r>
    </w:p>
    <w:p w14:paraId="0F5FB186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451A38" w14:paraId="15B46F14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A0CE9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Piping &amp; Pipelines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E3F6E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Structural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43150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Specialist Applications</w:t>
            </w:r>
          </w:p>
        </w:tc>
      </w:tr>
      <w:tr w:rsidR="00451A38" w14:paraId="5E2EF425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621C4" w14:textId="58002C41" w:rsidR="00451A38" w:rsidRDefault="00A275AD">
            <w:r>
              <w:rPr>
                <w:sz w:val="18"/>
                <w:szCs w:val="18"/>
              </w:rPr>
              <w:t xml:space="preserve">Pressurised hydrocarbon systems </w:t>
            </w:r>
            <w:proofErr w:type="gramStart"/>
            <w:r>
              <w:rPr>
                <w:sz w:val="18"/>
                <w:szCs w:val="18"/>
              </w:rPr>
              <w:t>bends</w:t>
            </w:r>
            <w:proofErr w:type="gramEnd"/>
            <w:r>
              <w:rPr>
                <w:sz w:val="18"/>
                <w:szCs w:val="18"/>
              </w:rPr>
              <w:t>, tees, flange overwraps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A2B53" w14:textId="2FB8A492" w:rsidR="00451A38" w:rsidRDefault="00A275AD">
            <w:r>
              <w:rPr>
                <w:sz w:val="18"/>
                <w:szCs w:val="18"/>
              </w:rPr>
              <w:t xml:space="preserve">I-beams, CHS structural </w:t>
            </w:r>
            <w:r w:rsidR="00B439A4">
              <w:rPr>
                <w:sz w:val="18"/>
                <w:szCs w:val="18"/>
              </w:rPr>
              <w:t>members live</w:t>
            </w:r>
            <w:r>
              <w:rPr>
                <w:sz w:val="18"/>
                <w:szCs w:val="18"/>
              </w:rPr>
              <w:t xml:space="preserve"> under full platform production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D082A" w14:textId="77777777" w:rsidR="00451A38" w:rsidRDefault="00A275AD">
            <w:r>
              <w:rPr>
                <w:sz w:val="18"/>
                <w:szCs w:val="18"/>
              </w:rPr>
              <w:t>High ambient environments (</w:t>
            </w:r>
            <w:proofErr w:type="spellStart"/>
            <w:r>
              <w:rPr>
                <w:sz w:val="18"/>
                <w:szCs w:val="18"/>
              </w:rPr>
              <w:t>GoM</w:t>
            </w:r>
            <w:proofErr w:type="spellEnd"/>
            <w:r>
              <w:rPr>
                <w:sz w:val="18"/>
                <w:szCs w:val="18"/>
              </w:rPr>
              <w:t>, West Africa tropical conditions)</w:t>
            </w:r>
          </w:p>
        </w:tc>
      </w:tr>
      <w:tr w:rsidR="00451A38" w14:paraId="5B6AE93B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914D2" w14:textId="2EDC1EA0" w:rsidR="00451A38" w:rsidRDefault="00A275AD">
            <w:r>
              <w:rPr>
                <w:sz w:val="18"/>
                <w:szCs w:val="18"/>
              </w:rPr>
              <w:t xml:space="preserve">Pipeline </w:t>
            </w:r>
            <w:r w:rsidR="008C60F9">
              <w:rPr>
                <w:sz w:val="18"/>
                <w:szCs w:val="18"/>
              </w:rPr>
              <w:t>repairs live</w:t>
            </w:r>
            <w:r>
              <w:rPr>
                <w:sz w:val="18"/>
                <w:szCs w:val="18"/>
              </w:rPr>
              <w:t>, no production deferment in most cases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08CE9" w14:textId="1239E736" w:rsidR="00451A38" w:rsidRDefault="00A275AD">
            <w:r>
              <w:rPr>
                <w:sz w:val="18"/>
                <w:szCs w:val="18"/>
              </w:rPr>
              <w:t>Decks, walkways, roofs, walls and cladding cold work only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AB192" w14:textId="0C96F745" w:rsidR="00451A38" w:rsidRDefault="00A275AD">
            <w:r>
              <w:rPr>
                <w:sz w:val="18"/>
                <w:szCs w:val="18"/>
              </w:rPr>
              <w:t xml:space="preserve">Potable water, glycol, methanol </w:t>
            </w:r>
            <w:r w:rsidR="008C60F9">
              <w:rPr>
                <w:sz w:val="18"/>
                <w:szCs w:val="18"/>
              </w:rPr>
              <w:t>systems certified</w:t>
            </w:r>
            <w:r>
              <w:rPr>
                <w:sz w:val="18"/>
                <w:szCs w:val="18"/>
              </w:rPr>
              <w:t xml:space="preserve"> resin systems</w:t>
            </w:r>
          </w:p>
        </w:tc>
      </w:tr>
      <w:tr w:rsidR="00451A38" w14:paraId="40892E78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2694E" w14:textId="51942FD7" w:rsidR="00451A38" w:rsidRDefault="00A275AD">
            <w:r>
              <w:rPr>
                <w:sz w:val="18"/>
                <w:szCs w:val="18"/>
              </w:rPr>
              <w:t xml:space="preserve">Caissons and </w:t>
            </w:r>
            <w:r w:rsidR="008C60F9">
              <w:rPr>
                <w:sz w:val="18"/>
                <w:szCs w:val="18"/>
              </w:rPr>
              <w:t>risers.</w:t>
            </w:r>
            <w:r>
              <w:rPr>
                <w:sz w:val="18"/>
                <w:szCs w:val="18"/>
              </w:rPr>
              <w:t xml:space="preserve"> </w:t>
            </w:r>
            <w:r w:rsidR="008C60F9">
              <w:rPr>
                <w:sz w:val="18"/>
                <w:szCs w:val="18"/>
              </w:rPr>
              <w:t>splash zone</w:t>
            </w:r>
            <w:r>
              <w:rPr>
                <w:sz w:val="18"/>
                <w:szCs w:val="18"/>
              </w:rPr>
              <w:t xml:space="preserve"> and subsea, wet environment rated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EAC41" w14:textId="2BA83A0E" w:rsidR="00451A38" w:rsidRDefault="00A275AD">
            <w:r>
              <w:rPr>
                <w:sz w:val="18"/>
                <w:szCs w:val="18"/>
              </w:rPr>
              <w:t xml:space="preserve">Tanks and </w:t>
            </w:r>
            <w:r w:rsidR="008C60F9">
              <w:rPr>
                <w:sz w:val="18"/>
                <w:szCs w:val="18"/>
              </w:rPr>
              <w:t>vessels,</w:t>
            </w:r>
            <w:r>
              <w:rPr>
                <w:sz w:val="18"/>
                <w:szCs w:val="18"/>
              </w:rPr>
              <w:t xml:space="preserve"> shells, supports, nozzle attachments, internal lining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30811" w14:textId="58D24CE8" w:rsidR="00451A38" w:rsidRDefault="00A275AD">
            <w:r>
              <w:rPr>
                <w:sz w:val="18"/>
                <w:szCs w:val="18"/>
              </w:rPr>
              <w:t xml:space="preserve">Emergency live-leak </w:t>
            </w:r>
            <w:r w:rsidR="008C60F9">
              <w:rPr>
                <w:sz w:val="18"/>
                <w:szCs w:val="18"/>
              </w:rPr>
              <w:t>sealing 24</w:t>
            </w:r>
            <w:r>
              <w:rPr>
                <w:sz w:val="18"/>
                <w:szCs w:val="18"/>
              </w:rPr>
              <w:t>-hour design to mobilisation</w:t>
            </w:r>
          </w:p>
        </w:tc>
      </w:tr>
    </w:tbl>
    <w:p w14:paraId="69C89792" w14:textId="77777777" w:rsidR="00451A38" w:rsidRDefault="00451A38">
      <w:pPr>
        <w:spacing w:after="160"/>
      </w:pPr>
    </w:p>
    <w:p w14:paraId="4F6BB50C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KEY ADVANTAGES VS. CONVENTIONAL REPAIR</w:t>
      </w:r>
    </w:p>
    <w:p w14:paraId="720D749C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426"/>
      </w:tblGrid>
      <w:tr w:rsidR="00451A38" w14:paraId="4A780BC3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093F6A0E" w14:textId="77777777" w:rsidR="00451A38" w:rsidRDefault="00A275AD">
            <w:r>
              <w:rPr>
                <w:b/>
                <w:bCs/>
                <w:color w:val="FFFFFF"/>
                <w:sz w:val="19"/>
                <w:szCs w:val="19"/>
              </w:rPr>
              <w:t>No production shutdown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60D4456B" w14:textId="16DD3F25" w:rsidR="00451A38" w:rsidRDefault="00A275AD">
            <w:r>
              <w:rPr>
                <w:b/>
                <w:color w:val="FFFFFF"/>
                <w:sz w:val="19"/>
                <w:szCs w:val="19"/>
              </w:rPr>
              <w:t xml:space="preserve">Applied live in most </w:t>
            </w:r>
            <w:proofErr w:type="gramStart"/>
            <w:r>
              <w:rPr>
                <w:b/>
                <w:color w:val="FFFFFF"/>
                <w:sz w:val="19"/>
                <w:szCs w:val="19"/>
              </w:rPr>
              <w:t>cases  zero</w:t>
            </w:r>
            <w:proofErr w:type="gramEnd"/>
            <w:r>
              <w:rPr>
                <w:b/>
                <w:color w:val="FFFFFF"/>
                <w:sz w:val="19"/>
                <w:szCs w:val="19"/>
              </w:rPr>
              <w:t xml:space="preserve"> production deferment. The primary value driver for operators.</w:t>
            </w:r>
          </w:p>
        </w:tc>
      </w:tr>
      <w:tr w:rsidR="00451A38" w14:paraId="0A9DBF65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81546" w14:textId="77777777" w:rsidR="00451A38" w:rsidRDefault="00A275AD">
            <w:r>
              <w:rPr>
                <w:b/>
                <w:bCs/>
                <w:sz w:val="19"/>
                <w:szCs w:val="19"/>
              </w:rPr>
              <w:lastRenderedPageBreak/>
              <w:t>No hot work permit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50BAE" w14:textId="51B1EA4E" w:rsidR="00451A38" w:rsidRDefault="00A275AD">
            <w:r>
              <w:rPr>
                <w:sz w:val="19"/>
                <w:szCs w:val="19"/>
              </w:rPr>
              <w:t xml:space="preserve">Cold work only. No welding, no </w:t>
            </w:r>
            <w:r w:rsidR="008C60F9">
              <w:rPr>
                <w:sz w:val="19"/>
                <w:szCs w:val="19"/>
              </w:rPr>
              <w:t>flame removes</w:t>
            </w:r>
            <w:r>
              <w:rPr>
                <w:sz w:val="19"/>
                <w:szCs w:val="19"/>
              </w:rPr>
              <w:t xml:space="preserve"> the most common offshore operational barrier.</w:t>
            </w:r>
          </w:p>
        </w:tc>
      </w:tr>
      <w:tr w:rsidR="00451A38" w14:paraId="68B9470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44D79" w14:textId="77777777" w:rsidR="00451A38" w:rsidRDefault="00A275AD">
            <w:r>
              <w:rPr>
                <w:b/>
                <w:bCs/>
                <w:sz w:val="19"/>
                <w:szCs w:val="19"/>
              </w:rPr>
              <w:t>60–80% CAPEX saving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CF53E" w14:textId="54EE75BE" w:rsidR="00451A38" w:rsidRDefault="00A275AD">
            <w:r>
              <w:rPr>
                <w:sz w:val="19"/>
                <w:szCs w:val="19"/>
              </w:rPr>
              <w:t xml:space="preserve">Targeted composite repair versus full pipe or component </w:t>
            </w:r>
            <w:r w:rsidR="008C60F9">
              <w:rPr>
                <w:sz w:val="19"/>
                <w:szCs w:val="19"/>
              </w:rPr>
              <w:t>replacement proven</w:t>
            </w:r>
            <w:r>
              <w:rPr>
                <w:sz w:val="19"/>
                <w:szCs w:val="19"/>
              </w:rPr>
              <w:t xml:space="preserve"> cost differential.</w:t>
            </w:r>
          </w:p>
        </w:tc>
      </w:tr>
      <w:tr w:rsidR="00451A38" w14:paraId="777B4975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5D864" w14:textId="77777777" w:rsidR="00451A38" w:rsidRDefault="00A275AD">
            <w:r>
              <w:rPr>
                <w:b/>
                <w:bCs/>
                <w:sz w:val="19"/>
                <w:szCs w:val="19"/>
              </w:rPr>
              <w:t>24-hour emergency response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B44CD" w14:textId="77777777" w:rsidR="00451A38" w:rsidRDefault="00A275AD">
            <w:r>
              <w:rPr>
                <w:sz w:val="19"/>
                <w:szCs w:val="19"/>
              </w:rPr>
              <w:t>From first call to ICR design sign-off and technician mobilisation within 24 hours.</w:t>
            </w:r>
          </w:p>
        </w:tc>
      </w:tr>
      <w:tr w:rsidR="00451A38" w14:paraId="38F943A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DF74D" w14:textId="77777777" w:rsidR="00451A38" w:rsidRDefault="00A275AD">
            <w:r>
              <w:rPr>
                <w:b/>
                <w:bCs/>
                <w:sz w:val="19"/>
                <w:szCs w:val="19"/>
              </w:rPr>
              <w:t>Up to 20-year design life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53118" w14:textId="77777777" w:rsidR="00451A38" w:rsidRDefault="00A275AD">
            <w:r>
              <w:rPr>
                <w:sz w:val="19"/>
                <w:szCs w:val="19"/>
              </w:rPr>
              <w:t>Not a temporary fix. Class-approved engineered solution with defined design life per asset.</w:t>
            </w:r>
          </w:p>
        </w:tc>
      </w:tr>
      <w:tr w:rsidR="00451A38" w14:paraId="78F56C8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63B82" w14:textId="77777777" w:rsidR="00451A38" w:rsidRDefault="00A275AD">
            <w:r>
              <w:rPr>
                <w:b/>
                <w:bCs/>
                <w:sz w:val="19"/>
                <w:szCs w:val="19"/>
              </w:rPr>
              <w:t>Rope access compatible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5C722" w14:textId="24789A1F" w:rsidR="00451A38" w:rsidRDefault="00A275AD">
            <w:r>
              <w:rPr>
                <w:sz w:val="19"/>
                <w:szCs w:val="19"/>
              </w:rPr>
              <w:t xml:space="preserve">Multi-skilled </w:t>
            </w:r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 xml:space="preserve"> technicians can operate via rope access eliminating scaffolding cost.</w:t>
            </w:r>
          </w:p>
        </w:tc>
      </w:tr>
      <w:tr w:rsidR="00451A38" w14:paraId="18D7FF8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200CF" w14:textId="77777777" w:rsidR="00451A38" w:rsidRDefault="00A275AD">
            <w:r>
              <w:rPr>
                <w:b/>
                <w:bCs/>
                <w:sz w:val="19"/>
                <w:szCs w:val="19"/>
              </w:rPr>
              <w:t>Any geometry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61031" w14:textId="1619E423" w:rsidR="00451A38" w:rsidRDefault="00A275AD">
            <w:r>
              <w:rPr>
                <w:sz w:val="19"/>
                <w:szCs w:val="19"/>
              </w:rPr>
              <w:t>Applied to any component no geometry is too complex. No prefabrication lead time required.</w:t>
            </w:r>
          </w:p>
        </w:tc>
      </w:tr>
    </w:tbl>
    <w:p w14:paraId="317345DF" w14:textId="77777777" w:rsidR="00451A38" w:rsidRDefault="00A275AD">
      <w:r>
        <w:br w:type="page"/>
      </w:r>
    </w:p>
    <w:p w14:paraId="2E4C55B4" w14:textId="77777777" w:rsidR="00451A38" w:rsidRDefault="00A275AD">
      <w:pPr>
        <w:shd w:val="clear" w:color="auto" w:fill="008751"/>
        <w:ind w:left="120" w:right="120"/>
      </w:pPr>
      <w:r>
        <w:rPr>
          <w:b/>
          <w:bCs/>
          <w:color w:val="00A85D"/>
          <w:sz w:val="24"/>
          <w:szCs w:val="24"/>
        </w:rPr>
        <w:lastRenderedPageBreak/>
        <w:t>INSPECTION SERVICES &amp; THE INTEGRATED INTEGRITY MODEL</w:t>
      </w:r>
    </w:p>
    <w:p w14:paraId="41809E20" w14:textId="77777777" w:rsidR="00451A38" w:rsidRDefault="00A275AD">
      <w:pPr>
        <w:shd w:val="clear" w:color="auto" w:fill="006B3F"/>
        <w:ind w:left="120" w:right="120"/>
      </w:pPr>
      <w:proofErr w:type="gramStart"/>
      <w:r>
        <w:rPr>
          <w:i/>
          <w:iCs/>
          <w:color w:val="FFFFFF"/>
          <w:sz w:val="17"/>
          <w:szCs w:val="17"/>
        </w:rPr>
        <w:t>NDT  ·</w:t>
      </w:r>
      <w:proofErr w:type="gramEnd"/>
      <w:r>
        <w:rPr>
          <w:i/>
          <w:iCs/>
          <w:color w:val="FFFFFF"/>
          <w:sz w:val="17"/>
          <w:szCs w:val="17"/>
        </w:rPr>
        <w:t xml:space="preserve">  Rope </w:t>
      </w:r>
      <w:proofErr w:type="gramStart"/>
      <w:r>
        <w:rPr>
          <w:i/>
          <w:iCs/>
          <w:color w:val="FFFFFF"/>
          <w:sz w:val="17"/>
          <w:szCs w:val="17"/>
        </w:rPr>
        <w:t>Access  ·</w:t>
      </w:r>
      <w:proofErr w:type="gramEnd"/>
      <w:r>
        <w:rPr>
          <w:i/>
          <w:iCs/>
          <w:color w:val="FFFFFF"/>
          <w:sz w:val="17"/>
          <w:szCs w:val="17"/>
        </w:rPr>
        <w:t xml:space="preserve">  </w:t>
      </w:r>
      <w:proofErr w:type="gramStart"/>
      <w:r>
        <w:rPr>
          <w:i/>
          <w:iCs/>
          <w:color w:val="FFFFFF"/>
          <w:sz w:val="17"/>
          <w:szCs w:val="17"/>
        </w:rPr>
        <w:t>Lifting  ·</w:t>
      </w:r>
      <w:proofErr w:type="gramEnd"/>
      <w:r>
        <w:rPr>
          <w:i/>
          <w:iCs/>
          <w:color w:val="FFFFFF"/>
          <w:sz w:val="17"/>
          <w:szCs w:val="17"/>
        </w:rPr>
        <w:t xml:space="preserve">  Inspect → Identify → Repair</w:t>
      </w:r>
    </w:p>
    <w:p w14:paraId="7E3F1341" w14:textId="77777777" w:rsidR="00451A38" w:rsidRDefault="00451A38">
      <w:pPr>
        <w:spacing w:after="160"/>
      </w:pPr>
    </w:p>
    <w:p w14:paraId="54D29874" w14:textId="7A51CC68" w:rsidR="00451A38" w:rsidRDefault="00A275AD">
      <w:pPr>
        <w:spacing w:before="60" w:after="60"/>
      </w:pPr>
      <w:r>
        <w:t xml:space="preserve">Inspection and composite repair are not separate services at </w:t>
      </w:r>
      <w:proofErr w:type="spellStart"/>
      <w:r>
        <w:t>Ayewo</w:t>
      </w:r>
      <w:proofErr w:type="spellEnd"/>
      <w:r>
        <w:t xml:space="preserve"> </w:t>
      </w:r>
      <w:proofErr w:type="spellStart"/>
      <w:r>
        <w:t>Atunse</w:t>
      </w:r>
      <w:proofErr w:type="spellEnd"/>
      <w:r>
        <w:t xml:space="preserve"> — they are one integrated campaign. Our inspection capability exists specifically to find the defects that </w:t>
      </w:r>
      <w:proofErr w:type="spellStart"/>
      <w:r>
        <w:t>Technowrap</w:t>
      </w:r>
      <w:proofErr w:type="spellEnd"/>
      <w:r>
        <w:t xml:space="preserve">™ will fix. A single mobilisation, a single HSE plan, one unified scope of </w:t>
      </w:r>
      <w:proofErr w:type="gramStart"/>
      <w:r>
        <w:t>work  and</w:t>
      </w:r>
      <w:proofErr w:type="gramEnd"/>
      <w:r>
        <w:t xml:space="preserve"> an asset returned to service with a documented repair design life attached to every defect identified.</w:t>
      </w:r>
    </w:p>
    <w:p w14:paraId="2E2F6D16" w14:textId="77777777" w:rsidR="00451A38" w:rsidRDefault="00451A38">
      <w:pPr>
        <w:spacing w:after="80"/>
      </w:pPr>
    </w:p>
    <w:p w14:paraId="6C78C1C0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INSPECTION SERVICE LINES</w:t>
      </w:r>
    </w:p>
    <w:p w14:paraId="6FADDE01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426"/>
      </w:tblGrid>
      <w:tr w:rsidR="00451A38" w14:paraId="7199E6D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7C2AC4EB" w14:textId="77777777" w:rsidR="00451A38" w:rsidRDefault="00A275AD">
            <w:r>
              <w:rPr>
                <w:b/>
                <w:bCs/>
                <w:color w:val="FFFFFF"/>
                <w:sz w:val="19"/>
                <w:szCs w:val="19"/>
              </w:rPr>
              <w:t>NDT — Non-Destructive Testing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shd w:fill="00A85D"/>
          </w:tcPr>
          <w:p w14:paraId="0FD1759E" w14:textId="77777777" w:rsidR="00451A38" w:rsidRDefault="00A275AD">
            <w:r>
              <w:rPr>
                <w:b/>
                <w:color w:val="FFFFFF"/>
                <w:sz w:val="19"/>
                <w:szCs w:val="19"/>
              </w:rPr>
              <w:t xml:space="preserve">Corrosion mapping · Wall thickness measurement (UT) · MPI · Dye penetrant · Visual inspection · Condition assessment reporting. Feeds directly into </w:t>
            </w:r>
            <w:proofErr w:type="spellStart"/>
            <w:r>
              <w:rPr>
                <w:b/>
                <w:color w:val="FFFFFF"/>
                <w:sz w:val="19"/>
                <w:szCs w:val="19"/>
              </w:rPr>
              <w:t>Technowrap</w:t>
            </w:r>
            <w:proofErr w:type="spellEnd"/>
            <w:r>
              <w:rPr>
                <w:b/>
                <w:color w:val="FFFFFF"/>
                <w:sz w:val="19"/>
                <w:szCs w:val="19"/>
              </w:rPr>
              <w:t>™ repair scope definition.</w:t>
            </w:r>
          </w:p>
        </w:tc>
      </w:tr>
      <w:tr w:rsidR="00451A38" w14:paraId="4BF2525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8D783" w14:textId="77777777" w:rsidR="00451A38" w:rsidRDefault="00A275AD">
            <w:r>
              <w:rPr>
                <w:b/>
                <w:bCs/>
                <w:sz w:val="19"/>
                <w:szCs w:val="19"/>
              </w:rPr>
              <w:t>Rope Access (IRATA)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09288" w14:textId="6EE11137" w:rsidR="00451A38" w:rsidRDefault="00A275AD">
            <w:r>
              <w:rPr>
                <w:sz w:val="19"/>
                <w:szCs w:val="19"/>
              </w:rPr>
              <w:t xml:space="preserve">IRATA-certified multi-skilled rope access technicians. Reach elevated, confined, and difficult access areas offshore platforms, caissons, </w:t>
            </w:r>
            <w:proofErr w:type="spellStart"/>
            <w:r>
              <w:rPr>
                <w:sz w:val="19"/>
                <w:szCs w:val="19"/>
              </w:rPr>
              <w:t>splashzone</w:t>
            </w:r>
            <w:proofErr w:type="spellEnd"/>
            <w:r>
              <w:rPr>
                <w:sz w:val="19"/>
                <w:szCs w:val="19"/>
              </w:rPr>
              <w:t xml:space="preserve">, risers without scaffolding. </w:t>
            </w:r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 xml:space="preserve"> application capability combined with rope access is a differentiating skill set.</w:t>
            </w:r>
          </w:p>
        </w:tc>
      </w:tr>
      <w:tr w:rsidR="00451A38" w14:paraId="3CA67519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E5D14" w14:textId="77777777" w:rsidR="00451A38" w:rsidRDefault="00A275AD">
            <w:r>
              <w:rPr>
                <w:b/>
                <w:bCs/>
                <w:sz w:val="19"/>
                <w:szCs w:val="19"/>
              </w:rPr>
              <w:t>Lifting &amp; Rigging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5590F3" w14:textId="00A75760" w:rsidR="00451A38" w:rsidRDefault="00A275AD">
            <w:r>
              <w:rPr>
                <w:sz w:val="19"/>
                <w:szCs w:val="19"/>
              </w:rPr>
              <w:t>Certified lifting operations in support of inspection and maintenance campaigns. Conducted under a formal lift plan and third-party certified lifting gear fully compliant with Nigerian offshore safety requirements.</w:t>
            </w:r>
          </w:p>
        </w:tc>
      </w:tr>
      <w:tr w:rsidR="00451A38" w14:paraId="5075DC3D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E70A1C" w14:textId="77777777" w:rsidR="00451A38" w:rsidRDefault="00A275AD">
            <w:r>
              <w:rPr>
                <w:b/>
                <w:bCs/>
                <w:sz w:val="19"/>
                <w:szCs w:val="19"/>
              </w:rPr>
              <w:t>Corrosion Assessment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BBFB2" w14:textId="2ECFA1B1" w:rsidR="00451A38" w:rsidRDefault="00A275AD">
            <w:r>
              <w:rPr>
                <w:sz w:val="19"/>
                <w:szCs w:val="19"/>
              </w:rPr>
              <w:t xml:space="preserve">Engineered corrosion assessment reports suitable for operator integrity management systems. Outputs are formatted to support </w:t>
            </w:r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 xml:space="preserve">™ repair design </w:t>
            </w:r>
            <w:proofErr w:type="gramStart"/>
            <w:r>
              <w:rPr>
                <w:sz w:val="19"/>
                <w:szCs w:val="19"/>
              </w:rPr>
              <w:t>input  shortening</w:t>
            </w:r>
            <w:proofErr w:type="gramEnd"/>
            <w:r>
              <w:rPr>
                <w:sz w:val="19"/>
                <w:szCs w:val="19"/>
              </w:rPr>
              <w:t xml:space="preserve"> the design-to-repair cycle.</w:t>
            </w:r>
          </w:p>
        </w:tc>
      </w:tr>
    </w:tbl>
    <w:p w14:paraId="548F026D" w14:textId="77777777" w:rsidR="00451A38" w:rsidRDefault="00451A38">
      <w:pPr>
        <w:spacing w:after="160"/>
      </w:pPr>
    </w:p>
    <w:p w14:paraId="0D5CE984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THE INTEGRATED INTEGRITY MODEL</w:t>
      </w:r>
    </w:p>
    <w:p w14:paraId="40771F3B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322"/>
        <w:gridCol w:w="2794"/>
        <w:gridCol w:w="322"/>
        <w:gridCol w:w="2795"/>
      </w:tblGrid>
      <w:tr w:rsidR="00451A38" w14:paraId="494E1CAC" w14:textId="77777777">
        <w:tc>
          <w:tcPr>
            <w:tcW w:w="2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751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  <w:shd w:fill="00A85D"/>
          </w:tcPr>
          <w:p w14:paraId="34F5EFB4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INSPECT</w:t>
            </w:r>
          </w:p>
          <w:p w14:paraId="59F99AFD" w14:textId="77777777" w:rsidR="00451A38" w:rsidRDefault="00A275AD">
            <w:pPr>
              <w:spacing w:before="60"/>
              <w:jc w:val="center"/>
            </w:pPr>
            <w:r>
              <w:rPr>
                <w:b/>
                <w:color w:val="FFFFFF"/>
                <w:sz w:val="17"/>
                <w:szCs w:val="17"/>
              </w:rPr>
              <w:t>NDT · Rope Access · Corrosion Mapping · Wall Thickness Survey</w:t>
            </w:r>
          </w:p>
        </w:tc>
        <w:tc>
          <w:tcPr>
            <w:tcW w:w="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  <w:shd w:fill="00A85D"/>
          </w:tcPr>
          <w:p w14:paraId="57BBCA81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▶</w:t>
            </w:r>
          </w:p>
        </w:tc>
        <w:tc>
          <w:tcPr>
            <w:tcW w:w="2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  <w:shd w:fill="00A85D"/>
          </w:tcPr>
          <w:p w14:paraId="5A549499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ENGINEER</w:t>
            </w:r>
          </w:p>
          <w:p w14:paraId="79D59456" w14:textId="77777777" w:rsidR="00451A38" w:rsidRDefault="00A275AD">
            <w:pPr>
              <w:spacing w:before="60"/>
              <w:jc w:val="center"/>
            </w:pPr>
            <w:r>
              <w:rPr>
                <w:b/>
                <w:color w:val="FFFFFF"/>
                <w:sz w:val="17"/>
                <w:szCs w:val="17"/>
              </w:rPr>
              <w:t>ICR Design Team · ISO 24817 · ASME PCC-2 · Bespoke per defect</w:t>
            </w:r>
          </w:p>
        </w:tc>
        <w:tc>
          <w:tcPr>
            <w:tcW w:w="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  <w:shd w:fill="00A85D"/>
          </w:tcPr>
          <w:p w14:paraId="11A89085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▶</w:t>
            </w:r>
          </w:p>
        </w:tc>
        <w:tc>
          <w:tcPr>
            <w:tcW w:w="2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751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  <w:shd w:fill="00A85D"/>
          </w:tcPr>
          <w:p w14:paraId="0ABCF9BD" w14:textId="77777777" w:rsidR="00451A38" w:rsidRDefault="00A275AD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REPAIR</w:t>
            </w:r>
          </w:p>
          <w:p w14:paraId="0EC57CB6" w14:textId="77777777" w:rsidR="00451A38" w:rsidRDefault="00A275AD">
            <w:pPr>
              <w:spacing w:before="60"/>
              <w:jc w:val="center"/>
            </w:pPr>
            <w:proofErr w:type="spellStart"/>
            <w:r>
              <w:rPr>
                <w:b/>
                <w:color w:val="FFFFFF"/>
                <w:sz w:val="17"/>
                <w:szCs w:val="17"/>
              </w:rPr>
              <w:t>Technowrap</w:t>
            </w:r>
            <w:proofErr w:type="spellEnd"/>
            <w:r>
              <w:rPr>
                <w:b/>
                <w:color w:val="FFFFFF"/>
                <w:sz w:val="17"/>
                <w:szCs w:val="17"/>
              </w:rPr>
              <w:t>™ · Live Application · Defined Design Life · QA/QC</w:t>
            </w:r>
          </w:p>
        </w:tc>
      </w:tr>
    </w:tbl>
    <w:p w14:paraId="54AEC20F" w14:textId="77777777" w:rsidR="00451A38" w:rsidRDefault="00451A38">
      <w:pPr>
        <w:spacing w:after="160"/>
      </w:pPr>
    </w:p>
    <w:p w14:paraId="4F578F8B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WHY THE INTEGRATED MODEL MATTERS</w:t>
      </w:r>
    </w:p>
    <w:p w14:paraId="6D2A9605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426"/>
      </w:tblGrid>
      <w:tr w:rsidR="00451A38" w14:paraId="55EF2388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A2572" w14:textId="77777777" w:rsidR="00451A38" w:rsidRDefault="00A275AD">
            <w:r>
              <w:rPr>
                <w:b/>
                <w:bCs/>
                <w:sz w:val="19"/>
                <w:szCs w:val="19"/>
              </w:rPr>
              <w:t>One mobilisation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B41FC" w14:textId="77777777" w:rsidR="00451A38" w:rsidRDefault="00A275AD">
            <w:r>
              <w:rPr>
                <w:sz w:val="19"/>
                <w:szCs w:val="19"/>
              </w:rPr>
              <w:t>Inspection and repair technicians mobilise together. One offshore mobilisation cost. One set of inductions. One HSE plan. One management overhead for the operator.</w:t>
            </w:r>
          </w:p>
        </w:tc>
      </w:tr>
      <w:tr w:rsidR="00451A38" w14:paraId="3F2429B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30115" w14:textId="77777777" w:rsidR="00451A38" w:rsidRDefault="00A275AD">
            <w:r>
              <w:rPr>
                <w:b/>
                <w:bCs/>
                <w:sz w:val="19"/>
                <w:szCs w:val="19"/>
              </w:rPr>
              <w:t>Faster repair cycle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D52F5" w14:textId="797FD6E3" w:rsidR="00451A38" w:rsidRDefault="00A275AD">
            <w:r>
              <w:rPr>
                <w:sz w:val="19"/>
                <w:szCs w:val="19"/>
              </w:rPr>
              <w:t xml:space="preserve">Inspection data feeds directly into </w:t>
            </w:r>
            <w:proofErr w:type="spellStart"/>
            <w:r>
              <w:rPr>
                <w:sz w:val="19"/>
                <w:szCs w:val="19"/>
              </w:rPr>
              <w:t>ICR's</w:t>
            </w:r>
            <w:proofErr w:type="spellEnd"/>
            <w:r>
              <w:rPr>
                <w:sz w:val="19"/>
                <w:szCs w:val="19"/>
              </w:rPr>
              <w:t xml:space="preserve"> engineering team in real time. Repair designs are produced while the inspection is ongoing not weeks after the survey report is issued.</w:t>
            </w:r>
          </w:p>
        </w:tc>
      </w:tr>
      <w:tr w:rsidR="00451A38" w14:paraId="05563CC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036FA" w14:textId="77777777" w:rsidR="00451A38" w:rsidRDefault="00A275AD">
            <w:r>
              <w:rPr>
                <w:b/>
                <w:bCs/>
                <w:sz w:val="19"/>
                <w:szCs w:val="19"/>
              </w:rPr>
              <w:t>No scope gap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A0032" w14:textId="77777777" w:rsidR="00451A38" w:rsidRDefault="00A275AD">
            <w:r>
              <w:rPr>
                <w:sz w:val="19"/>
                <w:szCs w:val="19"/>
              </w:rPr>
              <w:t xml:space="preserve">When a separate inspection contractor identifies defects and a separate repair contractor mobilises, defects get lost, scopes change, and liability becomes unclear. With </w:t>
            </w:r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>, one entity owns the outcome from first finding to completed repair.</w:t>
            </w:r>
          </w:p>
        </w:tc>
      </w:tr>
      <w:tr w:rsidR="00451A38" w14:paraId="4D3B0204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77EFB" w14:textId="77777777" w:rsidR="00451A38" w:rsidRDefault="00A275AD">
            <w:r>
              <w:rPr>
                <w:b/>
                <w:bCs/>
                <w:sz w:val="19"/>
                <w:szCs w:val="19"/>
              </w:rPr>
              <w:t>Documented outcome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F3C5A" w14:textId="66696948" w:rsidR="00451A38" w:rsidRDefault="00A275AD">
            <w:r>
              <w:rPr>
                <w:sz w:val="19"/>
                <w:szCs w:val="19"/>
              </w:rPr>
              <w:t>Every defect identified gets a repair with a class-approved design life attached. The operator leaves with a complete integrity record not just a punch list.</w:t>
            </w:r>
          </w:p>
        </w:tc>
      </w:tr>
    </w:tbl>
    <w:p w14:paraId="6BC92B91" w14:textId="77777777" w:rsidR="00451A38" w:rsidRDefault="00451A38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8866"/>
      </w:tblGrid>
      <w:tr w:rsidR="00451A38" w14:paraId="3D7E8655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751"/>
          </w:tcPr>
          <w:p w14:paraId="1F994AE5" w14:textId="77777777" w:rsidR="00451A38" w:rsidRDefault="00451A38"/>
        </w:tc>
        <w:tc>
          <w:tcPr>
            <w:tcW w:w="8866" w:type="dxa"/>
            <w:tcBorders>
              <w:top w:val="none" w:sz="0" w:space="0" w:color="FFFFFF"/>
              <w:left w:val="single" w:sz="12" w:space="0" w:color="008751"/>
              <w:bottom w:val="none" w:sz="0" w:space="0" w:color="FFFFFF"/>
              <w:right w:val="none" w:sz="0" w:space="0" w:color="FFFFFF"/>
            </w:tcBorders>
            <w:shd w:val="clear" w:color="auto" w:fill="E6F4ED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6DAF859" w14:textId="77777777" w:rsidR="00451A38" w:rsidRDefault="00A275AD">
            <w:r>
              <w:rPr>
                <w:b/>
                <w:bCs/>
                <w:color w:val="008751"/>
              </w:rPr>
              <w:t>Emergency Response Capability</w:t>
            </w:r>
          </w:p>
          <w:p w14:paraId="29766146" w14:textId="33453D15" w:rsidR="00451A38" w:rsidRDefault="00A275AD">
            <w:pPr>
              <w:spacing w:before="60"/>
            </w:pPr>
            <w:r>
              <w:rPr>
                <w:sz w:val="19"/>
                <w:szCs w:val="19"/>
              </w:rPr>
              <w:lastRenderedPageBreak/>
              <w:t xml:space="preserve">For unplanned integrity failures </w:t>
            </w:r>
            <w:r w:rsidR="008C60F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active leaks, through-wall defects, failed </w:t>
            </w:r>
            <w:proofErr w:type="gramStart"/>
            <w:r>
              <w:rPr>
                <w:sz w:val="19"/>
                <w:szCs w:val="19"/>
              </w:rPr>
              <w:t xml:space="preserve">clamps </w:t>
            </w:r>
            <w:r w:rsidR="008C60F9">
              <w:rPr>
                <w:sz w:val="19"/>
                <w:szCs w:val="19"/>
              </w:rPr>
              <w:t>;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can mobilise an emergency response from first call to technician on-site within 24–48 hours for Lagos</w:t>
            </w:r>
            <w:r w:rsidR="008C60F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accessible assets. </w:t>
            </w:r>
            <w:proofErr w:type="spellStart"/>
            <w:r>
              <w:rPr>
                <w:sz w:val="19"/>
                <w:szCs w:val="19"/>
              </w:rPr>
              <w:t>ICR's</w:t>
            </w:r>
            <w:proofErr w:type="spellEnd"/>
            <w:r>
              <w:rPr>
                <w:sz w:val="19"/>
                <w:szCs w:val="19"/>
              </w:rPr>
              <w:t xml:space="preserve"> engineering team provides design sign-off within hours. Core Kits are held in-country. No international freight delay.</w:t>
            </w:r>
          </w:p>
        </w:tc>
      </w:tr>
    </w:tbl>
    <w:p w14:paraId="39F444CB" w14:textId="77777777" w:rsidR="00451A38" w:rsidRDefault="00A275AD">
      <w:r>
        <w:lastRenderedPageBreak/>
        <w:br w:type="page"/>
      </w:r>
    </w:p>
    <w:p w14:paraId="6AFFF862" w14:textId="77777777" w:rsidR="00451A38" w:rsidRDefault="00A275AD">
      <w:pPr>
        <w:shd w:val="clear" w:color="auto" w:fill="008751"/>
        <w:ind w:left="120" w:right="120"/>
      </w:pPr>
      <w:r>
        <w:rPr>
          <w:b/>
          <w:bCs/>
          <w:color w:val="00A85D"/>
          <w:sz w:val="26"/>
          <w:szCs w:val="26"/>
        </w:rPr>
        <w:lastRenderedPageBreak/>
        <w:t>TRACK RECORD, TEAM &amp; DELIVERY ASSURANCE</w:t>
      </w:r>
    </w:p>
    <w:p w14:paraId="78E8C33B" w14:textId="77777777" w:rsidR="00451A38" w:rsidRDefault="00A275AD">
      <w:pPr>
        <w:shd w:val="clear" w:color="auto" w:fill="006B3F"/>
        <w:ind w:left="120" w:right="120"/>
      </w:pPr>
      <w:r>
        <w:rPr>
          <w:i/>
          <w:iCs/>
          <w:color w:val="FFFFFF"/>
          <w:sz w:val="17"/>
          <w:szCs w:val="17"/>
        </w:rPr>
        <w:t xml:space="preserve">Global Reference </w:t>
      </w:r>
      <w:proofErr w:type="gramStart"/>
      <w:r>
        <w:rPr>
          <w:i/>
          <w:iCs/>
          <w:color w:val="FFFFFF"/>
          <w:sz w:val="17"/>
          <w:szCs w:val="17"/>
        </w:rPr>
        <w:t>Base  ·</w:t>
      </w:r>
      <w:proofErr w:type="gramEnd"/>
      <w:r>
        <w:rPr>
          <w:i/>
          <w:iCs/>
          <w:color w:val="FFFFFF"/>
          <w:sz w:val="17"/>
          <w:szCs w:val="17"/>
        </w:rPr>
        <w:t xml:space="preserve">  Local </w:t>
      </w:r>
      <w:proofErr w:type="gramStart"/>
      <w:r>
        <w:rPr>
          <w:i/>
          <w:iCs/>
          <w:color w:val="FFFFFF"/>
          <w:sz w:val="17"/>
          <w:szCs w:val="17"/>
        </w:rPr>
        <w:t>Execution  ·</w:t>
      </w:r>
      <w:proofErr w:type="gramEnd"/>
      <w:r>
        <w:rPr>
          <w:i/>
          <w:iCs/>
          <w:color w:val="FFFFFF"/>
          <w:sz w:val="17"/>
          <w:szCs w:val="17"/>
        </w:rPr>
        <w:t xml:space="preserve">  Named Technical Backup</w:t>
      </w:r>
    </w:p>
    <w:p w14:paraId="1496A38D" w14:textId="77777777" w:rsidR="00451A38" w:rsidRDefault="00451A38">
      <w:pPr>
        <w:spacing w:after="160"/>
      </w:pPr>
    </w:p>
    <w:p w14:paraId="720D0819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GLOBAL REFERENCE TRACK RECORD — ICR / TECHNOWRAP™</w:t>
      </w:r>
    </w:p>
    <w:p w14:paraId="78FCA9E7" w14:textId="77777777" w:rsidR="00451A38" w:rsidRDefault="00451A38">
      <w:pPr>
        <w:spacing w:after="80"/>
      </w:pPr>
    </w:p>
    <w:p w14:paraId="100F08D1" w14:textId="02450C26" w:rsidR="00451A38" w:rsidRDefault="00A275AD">
      <w:pPr>
        <w:spacing w:before="60" w:after="60"/>
      </w:pPr>
      <w:proofErr w:type="spellStart"/>
      <w:r>
        <w:t>Ayewo</w:t>
      </w:r>
      <w:proofErr w:type="spellEnd"/>
      <w:r>
        <w:t xml:space="preserve"> </w:t>
      </w:r>
      <w:proofErr w:type="spellStart"/>
      <w:r>
        <w:t>Atunse</w:t>
      </w:r>
      <w:proofErr w:type="spellEnd"/>
      <w:r>
        <w:t xml:space="preserve"> is newly incorporated in Nigeria and building its in-country track record. Our technology partner, ICR, brings over 20 years of global composite repair deployments across some of the world's most demanding oil and gas </w:t>
      </w:r>
      <w:proofErr w:type="gramStart"/>
      <w:r>
        <w:t>environments  the</w:t>
      </w:r>
      <w:proofErr w:type="gramEnd"/>
      <w:r>
        <w:t xml:space="preserve"> same technology, the same engineering standards, delivered by the same global supply chain, now available to Nigerian operators through a fully Nigerian entity.</w:t>
      </w:r>
    </w:p>
    <w:p w14:paraId="2BD2042E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213"/>
        <w:gridCol w:w="4213"/>
      </w:tblGrid>
      <w:tr w:rsidR="00451A38" w14:paraId="449B50F6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32F732C7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Location / Asset Type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5063BC81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Operator Type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1D439441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Scope</w:t>
            </w:r>
          </w:p>
        </w:tc>
      </w:tr>
      <w:tr w:rsidR="00451A38" w14:paraId="0D7FDCB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DD4EC" w14:textId="77777777" w:rsidR="00451A38" w:rsidRDefault="00A275AD">
            <w:r>
              <w:rPr>
                <w:sz w:val="18"/>
                <w:szCs w:val="18"/>
              </w:rPr>
              <w:t>Angola — FPSO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E1643" w14:textId="77777777" w:rsidR="00451A38" w:rsidRDefault="00A275AD">
            <w:r>
              <w:rPr>
                <w:sz w:val="18"/>
                <w:szCs w:val="18"/>
              </w:rPr>
              <w:t>Major international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C87B" w14:textId="77777777" w:rsidR="00451A38" w:rsidRDefault="00A275AD">
            <w:r>
              <w:rPr>
                <w:sz w:val="18"/>
                <w:szCs w:val="18"/>
              </w:rPr>
              <w:t xml:space="preserve">Multiple </w:t>
            </w:r>
            <w:proofErr w:type="spellStart"/>
            <w:r>
              <w:rPr>
                <w:sz w:val="18"/>
                <w:szCs w:val="18"/>
              </w:rPr>
              <w:t>Technowrap</w:t>
            </w:r>
            <w:proofErr w:type="spellEnd"/>
            <w:r>
              <w:rPr>
                <w:sz w:val="18"/>
                <w:szCs w:val="18"/>
              </w:rPr>
              <w:t>™ composite repair campaigns. Pipework, structural, deck repairs under full production.</w:t>
            </w:r>
          </w:p>
        </w:tc>
      </w:tr>
      <w:tr w:rsidR="00451A38" w14:paraId="2D725C8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4387D" w14:textId="77777777" w:rsidR="00451A38" w:rsidRDefault="00A275AD">
            <w:r>
              <w:rPr>
                <w:sz w:val="18"/>
                <w:szCs w:val="18"/>
              </w:rPr>
              <w:t>Guyana — Deepwater FPSO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820F3" w14:textId="77777777" w:rsidR="00451A38" w:rsidRDefault="00A275AD">
            <w:r>
              <w:rPr>
                <w:sz w:val="18"/>
                <w:szCs w:val="18"/>
              </w:rPr>
              <w:t>Major international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4E8C3" w14:textId="2DEFC627" w:rsidR="00451A38" w:rsidRDefault="00A275AD">
            <w:r>
              <w:rPr>
                <w:sz w:val="18"/>
                <w:szCs w:val="18"/>
              </w:rPr>
              <w:t xml:space="preserve">Emergency and planned composite repair on deepwater assets. ICR global partner </w:t>
            </w:r>
            <w:proofErr w:type="gramStart"/>
            <w:r>
              <w:rPr>
                <w:sz w:val="18"/>
                <w:szCs w:val="18"/>
              </w:rPr>
              <w:t>model  same</w:t>
            </w:r>
            <w:proofErr w:type="gramEnd"/>
            <w:r>
              <w:rPr>
                <w:sz w:val="18"/>
                <w:szCs w:val="18"/>
              </w:rPr>
              <w:t xml:space="preserve"> delivery framework as </w:t>
            </w:r>
            <w:proofErr w:type="spellStart"/>
            <w:r>
              <w:rPr>
                <w:sz w:val="18"/>
                <w:szCs w:val="18"/>
              </w:rPr>
              <w:t>Ayewo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Atunse</w:t>
            </w:r>
            <w:proofErr w:type="spellEnd"/>
            <w:r>
              <w:rPr>
                <w:sz w:val="18"/>
                <w:szCs w:val="18"/>
              </w:rPr>
              <w:t xml:space="preserve"> Nigeria.</w:t>
            </w:r>
          </w:p>
        </w:tc>
      </w:tr>
      <w:tr w:rsidR="00451A38" w14:paraId="5FA160FA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573A7" w14:textId="77777777" w:rsidR="00451A38" w:rsidRDefault="00A275AD">
            <w:r>
              <w:rPr>
                <w:sz w:val="18"/>
                <w:szCs w:val="18"/>
              </w:rPr>
              <w:t>Gulf of Mexico — FPSO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28CC2" w14:textId="77777777" w:rsidR="00451A38" w:rsidRDefault="00A275AD">
            <w:r>
              <w:rPr>
                <w:sz w:val="18"/>
                <w:szCs w:val="18"/>
              </w:rPr>
              <w:t>Supermajor operator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EC611" w14:textId="77777777" w:rsidR="00451A38" w:rsidRDefault="00A275AD">
            <w:r>
              <w:rPr>
                <w:sz w:val="18"/>
                <w:szCs w:val="18"/>
              </w:rPr>
              <w:t>Turbine enclosure composite repair. 36-hour shutdown window. Rope access. Completed on schedule.</w:t>
            </w:r>
          </w:p>
        </w:tc>
      </w:tr>
      <w:tr w:rsidR="00451A38" w14:paraId="79090CCC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238C0" w14:textId="77777777" w:rsidR="00451A38" w:rsidRDefault="00A275AD">
            <w:r>
              <w:rPr>
                <w:sz w:val="18"/>
                <w:szCs w:val="18"/>
              </w:rPr>
              <w:t>Trinidad — Platform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80719" w14:textId="77777777" w:rsidR="00451A38" w:rsidRDefault="00A275AD">
            <w:r>
              <w:rPr>
                <w:sz w:val="18"/>
                <w:szCs w:val="18"/>
              </w:rPr>
              <w:t>Major operator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532C1" w14:textId="77777777" w:rsidR="00451A38" w:rsidRDefault="00A275AD">
            <w:r>
              <w:rPr>
                <w:sz w:val="18"/>
                <w:szCs w:val="18"/>
              </w:rPr>
              <w:t>Through-wall defect on fuel gas line. 2-day window. 10-year guaranteed repair delivered.</w:t>
            </w:r>
          </w:p>
        </w:tc>
      </w:tr>
      <w:tr w:rsidR="00451A38" w14:paraId="47D88FBA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CE385" w14:textId="77777777" w:rsidR="00451A38" w:rsidRDefault="00A275AD">
            <w:r>
              <w:rPr>
                <w:sz w:val="18"/>
                <w:szCs w:val="18"/>
              </w:rPr>
              <w:t>Kuwait — Pipeline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1576F" w14:textId="77777777" w:rsidR="00451A38" w:rsidRDefault="00A275AD">
            <w:r>
              <w:rPr>
                <w:sz w:val="18"/>
                <w:szCs w:val="18"/>
              </w:rPr>
              <w:t>National oil company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40960" w14:textId="77777777" w:rsidR="00451A38" w:rsidRDefault="00A275AD">
            <w:r>
              <w:rPr>
                <w:sz w:val="18"/>
                <w:szCs w:val="18"/>
              </w:rPr>
              <w:t>Live 30" crude oil pipeline. Leaking clamp repair with line live and leak active. Zero shutdown.</w:t>
            </w:r>
          </w:p>
        </w:tc>
      </w:tr>
      <w:tr w:rsidR="00451A38" w14:paraId="7624282D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EA2F8" w14:textId="77777777" w:rsidR="00451A38" w:rsidRDefault="00A275AD">
            <w:r>
              <w:rPr>
                <w:sz w:val="18"/>
                <w:szCs w:val="18"/>
              </w:rPr>
              <w:t>Qatar — Subsea pipeline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EDA1C" w14:textId="77777777" w:rsidR="00451A38" w:rsidRDefault="00A275AD">
            <w:r>
              <w:rPr>
                <w:sz w:val="18"/>
                <w:szCs w:val="18"/>
              </w:rPr>
              <w:t>Major operator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25217" w14:textId="055E704E" w:rsidR="00451A38" w:rsidRDefault="00A275AD">
            <w:r>
              <w:rPr>
                <w:sz w:val="18"/>
                <w:szCs w:val="18"/>
              </w:rPr>
              <w:t>12km subsea pipeline corrosion protection. 25–</w:t>
            </w:r>
            <w:r w:rsidR="008C60F9">
              <w:rPr>
                <w:sz w:val="18"/>
                <w:szCs w:val="18"/>
              </w:rPr>
              <w:t>30-year</w:t>
            </w:r>
            <w:r>
              <w:rPr>
                <w:sz w:val="18"/>
                <w:szCs w:val="18"/>
              </w:rPr>
              <w:t xml:space="preserve"> design life. Approved by client after rigorous testing.</w:t>
            </w:r>
          </w:p>
        </w:tc>
      </w:tr>
      <w:tr w:rsidR="00451A38" w14:paraId="3B4F47DC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62ECC" w14:textId="77777777" w:rsidR="00451A38" w:rsidRDefault="00A275AD">
            <w:r>
              <w:rPr>
                <w:sz w:val="18"/>
                <w:szCs w:val="18"/>
              </w:rPr>
              <w:t>North Sea — Caisson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E2A0B" w14:textId="77777777" w:rsidR="00451A38" w:rsidRDefault="00A275AD">
            <w:r>
              <w:rPr>
                <w:sz w:val="18"/>
                <w:szCs w:val="18"/>
              </w:rPr>
              <w:t>Major North Sea operator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FAAFC" w14:textId="77777777" w:rsidR="00451A38" w:rsidRDefault="00A275AD">
            <w:r>
              <w:rPr>
                <w:sz w:val="18"/>
                <w:szCs w:val="18"/>
              </w:rPr>
              <w:t xml:space="preserve">18" caisson </w:t>
            </w:r>
            <w:proofErr w:type="spellStart"/>
            <w:r>
              <w:rPr>
                <w:sz w:val="18"/>
                <w:szCs w:val="18"/>
              </w:rPr>
              <w:t>splashzone</w:t>
            </w:r>
            <w:proofErr w:type="spellEnd"/>
            <w:r>
              <w:rPr>
                <w:sz w:val="18"/>
                <w:szCs w:val="18"/>
              </w:rPr>
              <w:t xml:space="preserve"> repair. Rope access. 15-year design life. Shell-reviewed engineering solution.</w:t>
            </w:r>
          </w:p>
        </w:tc>
      </w:tr>
      <w:tr w:rsidR="00451A38" w14:paraId="401CB987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4933E" w14:textId="77777777" w:rsidR="00451A38" w:rsidRDefault="00A275AD">
            <w:r>
              <w:rPr>
                <w:sz w:val="18"/>
                <w:szCs w:val="18"/>
              </w:rPr>
              <w:t>Australia — Tank farm</w:t>
            </w:r>
          </w:p>
        </w:tc>
        <w:tc>
          <w:tcPr>
            <w:tcW w:w="2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1A6EF" w14:textId="77777777" w:rsidR="00451A38" w:rsidRDefault="00A275AD">
            <w:r>
              <w:rPr>
                <w:sz w:val="18"/>
                <w:szCs w:val="18"/>
              </w:rPr>
              <w:t>Major operator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E10F1" w14:textId="77777777" w:rsidR="00451A38" w:rsidRDefault="00A275AD">
            <w:r>
              <w:rPr>
                <w:sz w:val="18"/>
                <w:szCs w:val="18"/>
              </w:rPr>
              <w:t xml:space="preserve">Three floating roof tanks. Live leak sealing + </w:t>
            </w:r>
            <w:proofErr w:type="spellStart"/>
            <w:r>
              <w:rPr>
                <w:sz w:val="18"/>
                <w:szCs w:val="18"/>
              </w:rPr>
              <w:t>Technowrap</w:t>
            </w:r>
            <w:proofErr w:type="spellEnd"/>
            <w:r>
              <w:rPr>
                <w:sz w:val="18"/>
                <w:szCs w:val="18"/>
              </w:rPr>
              <w:t xml:space="preserve"> DRS. 115m² remediation. 20-year design life.</w:t>
            </w:r>
          </w:p>
        </w:tc>
      </w:tr>
    </w:tbl>
    <w:p w14:paraId="290650ED" w14:textId="77777777" w:rsidR="00451A38" w:rsidRDefault="00451A38">
      <w:pPr>
        <w:spacing w:after="160"/>
      </w:pPr>
    </w:p>
    <w:p w14:paraId="725B689D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OUR TEAM</w:t>
      </w:r>
    </w:p>
    <w:p w14:paraId="37C94B0B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13"/>
        <w:gridCol w:w="4213"/>
      </w:tblGrid>
      <w:tr w:rsidR="00451A38" w14:paraId="78CCBE1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4050B026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2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728282C2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Role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shd w:fill="00A85D"/>
          </w:tcPr>
          <w:p w14:paraId="13DF4E55" w14:textId="77777777" w:rsidR="00451A38" w:rsidRDefault="00A275AD">
            <w:r>
              <w:rPr>
                <w:b/>
                <w:bCs/>
                <w:color w:val="FFFFFF"/>
                <w:sz w:val="18"/>
                <w:szCs w:val="18"/>
              </w:rPr>
              <w:t>Function</w:t>
            </w:r>
          </w:p>
        </w:tc>
      </w:tr>
      <w:tr w:rsidR="00451A38" w14:paraId="4B14516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630F4" w14:textId="77777777" w:rsidR="00451A38" w:rsidRDefault="00A275AD">
            <w:r>
              <w:rPr>
                <w:sz w:val="18"/>
                <w:szCs w:val="18"/>
              </w:rPr>
              <w:t>Koye Abiola</w:t>
            </w:r>
          </w:p>
        </w:tc>
        <w:tc>
          <w:tcPr>
            <w:tcW w:w="2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0F95A" w14:textId="77777777" w:rsidR="00451A38" w:rsidRDefault="00A275AD">
            <w:r>
              <w:rPr>
                <w:sz w:val="18"/>
                <w:szCs w:val="18"/>
              </w:rPr>
              <w:t>Managing Director / BD Lead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ABD14" w14:textId="77777777" w:rsidR="00451A38" w:rsidRDefault="00A275AD">
            <w:r>
              <w:rPr>
                <w:sz w:val="18"/>
                <w:szCs w:val="18"/>
              </w:rPr>
              <w:t>Front-line business development. Operator engagement, first meetings, capability presentations. Primary client contact.</w:t>
            </w:r>
          </w:p>
        </w:tc>
      </w:tr>
      <w:tr w:rsidR="00451A38" w14:paraId="30E88DE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3AB8A" w14:textId="77777777" w:rsidR="00451A38" w:rsidRDefault="00A275AD">
            <w:r>
              <w:rPr>
                <w:sz w:val="18"/>
                <w:szCs w:val="18"/>
              </w:rPr>
              <w:t>Bernold Le Saux</w:t>
            </w:r>
          </w:p>
        </w:tc>
        <w:tc>
          <w:tcPr>
            <w:tcW w:w="2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8C625" w14:textId="77777777" w:rsidR="00451A38" w:rsidRDefault="00A275AD">
            <w:r>
              <w:rPr>
                <w:sz w:val="18"/>
                <w:szCs w:val="18"/>
              </w:rPr>
              <w:t>Technical Director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63A54" w14:textId="77777777" w:rsidR="00451A38" w:rsidRDefault="00A275AD">
            <w:r>
              <w:rPr>
                <w:sz w:val="18"/>
                <w:szCs w:val="18"/>
              </w:rPr>
              <w:t>Converts opportunities to signed contracts. Technical proposals, pricing, ICR coordination, mobilisation, supply chain.</w:t>
            </w:r>
          </w:p>
        </w:tc>
      </w:tr>
      <w:tr w:rsidR="00451A38" w14:paraId="1B87370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85AE3" w14:textId="444A5C76" w:rsidR="00451A38" w:rsidRDefault="009951F0">
            <w:r>
              <w:t>Deji</w:t>
            </w:r>
          </w:p>
        </w:tc>
        <w:tc>
          <w:tcPr>
            <w:tcW w:w="2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3A85B" w14:textId="77777777" w:rsidR="00451A38" w:rsidRDefault="00A275AD">
            <w:r>
              <w:rPr>
                <w:sz w:val="18"/>
                <w:szCs w:val="18"/>
              </w:rPr>
              <w:t>Non-Executive Chairman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E887F" w14:textId="77777777" w:rsidR="00451A38" w:rsidRDefault="00A275AD">
            <w:r>
              <w:rPr>
                <w:sz w:val="18"/>
                <w:szCs w:val="18"/>
              </w:rPr>
              <w:t>Senior door-opener. Existing IOC and operator relationships. Supports BD with introductions and credibility at board level.</w:t>
            </w:r>
          </w:p>
        </w:tc>
      </w:tr>
      <w:tr w:rsidR="00451A38" w14:paraId="27D6718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68E37" w14:textId="7DCF0A6E" w:rsidR="00451A38" w:rsidRDefault="009951F0">
            <w:r>
              <w:rPr>
                <w:sz w:val="18"/>
                <w:szCs w:val="18"/>
              </w:rPr>
              <w:t>Flavian Le Saux</w:t>
            </w:r>
          </w:p>
        </w:tc>
        <w:tc>
          <w:tcPr>
            <w:tcW w:w="2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A8DD3" w14:textId="77777777" w:rsidR="00451A38" w:rsidRDefault="00A275AD">
            <w:r>
              <w:rPr>
                <w:sz w:val="18"/>
                <w:szCs w:val="18"/>
              </w:rPr>
              <w:t>Extended BD Network</w:t>
            </w:r>
          </w:p>
        </w:tc>
        <w:tc>
          <w:tcPr>
            <w:tcW w:w="42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FBA30" w14:textId="77777777" w:rsidR="00451A38" w:rsidRDefault="00A275AD">
            <w:r>
              <w:rPr>
                <w:sz w:val="18"/>
                <w:szCs w:val="18"/>
              </w:rPr>
              <w:t>Additional business development channel. Multiplies operator touchpoints and extends geographic reach of commercial pipeline.</w:t>
            </w:r>
          </w:p>
        </w:tc>
      </w:tr>
    </w:tbl>
    <w:p w14:paraId="68CDC9FE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8866"/>
      </w:tblGrid>
      <w:tr w:rsidR="00451A38" w14:paraId="17C1394F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751"/>
          </w:tcPr>
          <w:p w14:paraId="39CAF2DC" w14:textId="77777777" w:rsidR="00451A38" w:rsidRDefault="00451A38"/>
        </w:tc>
        <w:tc>
          <w:tcPr>
            <w:tcW w:w="8866" w:type="dxa"/>
            <w:tcBorders>
              <w:top w:val="none" w:sz="0" w:space="0" w:color="FFFFFF"/>
              <w:left w:val="single" w:sz="12" w:space="0" w:color="008751"/>
              <w:bottom w:val="none" w:sz="0" w:space="0" w:color="FFFFFF"/>
              <w:right w:val="none" w:sz="0" w:space="0" w:color="FFFFFF"/>
            </w:tcBorders>
            <w:shd w:val="clear" w:color="auto" w:fill="E6F4ED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9D3B6BE" w14:textId="72D67898" w:rsidR="00451A38" w:rsidRDefault="00A275AD">
            <w:r>
              <w:rPr>
                <w:b/>
                <w:bCs/>
                <w:color w:val="008751"/>
              </w:rPr>
              <w:t xml:space="preserve">Technical Backup </w:t>
            </w:r>
            <w:r w:rsidR="008C60F9">
              <w:rPr>
                <w:b/>
                <w:bCs/>
                <w:color w:val="008751"/>
              </w:rPr>
              <w:t>-</w:t>
            </w:r>
            <w:r>
              <w:rPr>
                <w:b/>
                <w:bCs/>
                <w:color w:val="008751"/>
              </w:rPr>
              <w:t xml:space="preserve"> Named Resource</w:t>
            </w:r>
          </w:p>
          <w:p w14:paraId="0A16622E" w14:textId="506BBAED" w:rsidR="00451A38" w:rsidRDefault="008C60F9">
            <w:pPr>
              <w:spacing w:before="60"/>
            </w:pPr>
            <w:r>
              <w:rPr>
                <w:sz w:val="19"/>
                <w:szCs w:val="19"/>
              </w:rPr>
              <w:t>If</w:t>
            </w:r>
            <w:r w:rsidR="00A275AD">
              <w:rPr>
                <w:sz w:val="19"/>
                <w:szCs w:val="19"/>
              </w:rPr>
              <w:t xml:space="preserve"> Bernold Le Saux is unavailable, </w:t>
            </w:r>
            <w:proofErr w:type="spellStart"/>
            <w:r w:rsidR="00A275AD">
              <w:rPr>
                <w:sz w:val="19"/>
                <w:szCs w:val="19"/>
              </w:rPr>
              <w:t>Ayewo</w:t>
            </w:r>
            <w:proofErr w:type="spellEnd"/>
            <w:r w:rsidR="00A275AD">
              <w:rPr>
                <w:sz w:val="19"/>
                <w:szCs w:val="19"/>
              </w:rPr>
              <w:t xml:space="preserve"> </w:t>
            </w:r>
            <w:proofErr w:type="spellStart"/>
            <w:r w:rsidR="00A275AD">
              <w:rPr>
                <w:sz w:val="19"/>
                <w:szCs w:val="19"/>
              </w:rPr>
              <w:t>Atunse</w:t>
            </w:r>
            <w:proofErr w:type="spellEnd"/>
            <w:r w:rsidR="00A275AD">
              <w:rPr>
                <w:sz w:val="19"/>
                <w:szCs w:val="19"/>
              </w:rPr>
              <w:t xml:space="preserve"> has a designated ICR technical lead on standby as named backup documented in our capability framework and available for operator pre-qualification submissions on request. </w:t>
            </w:r>
            <w:proofErr w:type="spellStart"/>
            <w:r w:rsidR="00A275AD">
              <w:rPr>
                <w:sz w:val="19"/>
                <w:szCs w:val="19"/>
              </w:rPr>
              <w:t>Ayewo</w:t>
            </w:r>
            <w:proofErr w:type="spellEnd"/>
            <w:r w:rsidR="00A275AD">
              <w:rPr>
                <w:sz w:val="19"/>
                <w:szCs w:val="19"/>
              </w:rPr>
              <w:t xml:space="preserve"> </w:t>
            </w:r>
            <w:proofErr w:type="spellStart"/>
            <w:r w:rsidR="00A275AD">
              <w:rPr>
                <w:sz w:val="19"/>
                <w:szCs w:val="19"/>
              </w:rPr>
              <w:t>Atunse</w:t>
            </w:r>
            <w:proofErr w:type="spellEnd"/>
            <w:r w:rsidR="00A275AD">
              <w:rPr>
                <w:sz w:val="19"/>
                <w:szCs w:val="19"/>
              </w:rPr>
              <w:t xml:space="preserve"> does not rely on a single technical resource for delivery assurance.</w:t>
            </w:r>
          </w:p>
        </w:tc>
      </w:tr>
    </w:tbl>
    <w:p w14:paraId="6AC040D2" w14:textId="77777777" w:rsidR="00451A38" w:rsidRDefault="00451A38">
      <w:pPr>
        <w:spacing w:after="160"/>
      </w:pPr>
    </w:p>
    <w:p w14:paraId="6C83B02C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DELIVERY ASSURANCE</w:t>
      </w:r>
    </w:p>
    <w:p w14:paraId="130A79CE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426"/>
      </w:tblGrid>
      <w:tr w:rsidR="00451A38" w14:paraId="6461A77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F8405" w14:textId="77777777" w:rsidR="00451A38" w:rsidRDefault="00A275AD">
            <w:r>
              <w:rPr>
                <w:b/>
                <w:bCs/>
                <w:sz w:val="19"/>
                <w:szCs w:val="19"/>
              </w:rPr>
              <w:t>Technology warranty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85F6C" w14:textId="2034D0CC" w:rsidR="00451A38" w:rsidRDefault="00A275AD">
            <w:r>
              <w:rPr>
                <w:sz w:val="19"/>
                <w:szCs w:val="19"/>
              </w:rPr>
              <w:t xml:space="preserve">All </w:t>
            </w:r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 xml:space="preserve">™ repairs are guaranteed for the full engineered design life. Warranty terms pass through from ICR to the operator </w:t>
            </w:r>
            <w:r w:rsidR="008C60F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documented in every proposal.</w:t>
            </w:r>
          </w:p>
        </w:tc>
      </w:tr>
      <w:tr w:rsidR="00451A38" w14:paraId="10477A30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3973E" w14:textId="77777777" w:rsidR="00451A38" w:rsidRDefault="00A275AD">
            <w:r>
              <w:rPr>
                <w:b/>
                <w:bCs/>
                <w:sz w:val="19"/>
                <w:szCs w:val="19"/>
              </w:rPr>
              <w:t>QA/QC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DF2C7" w14:textId="77777777" w:rsidR="00451A38" w:rsidRDefault="00A275AD">
            <w:r>
              <w:rPr>
                <w:sz w:val="19"/>
                <w:szCs w:val="19"/>
              </w:rPr>
              <w:t xml:space="preserve">Every repair is subject to </w:t>
            </w:r>
            <w:proofErr w:type="spellStart"/>
            <w:r>
              <w:rPr>
                <w:sz w:val="19"/>
                <w:szCs w:val="19"/>
              </w:rPr>
              <w:t>ICR's</w:t>
            </w:r>
            <w:proofErr w:type="spellEnd"/>
            <w:r>
              <w:rPr>
                <w:sz w:val="19"/>
                <w:szCs w:val="19"/>
              </w:rPr>
              <w:t xml:space="preserve"> QA/QC protocol: material traceability, cure verification, and post-repair inspection documentation. QA records issued to operator on completion.</w:t>
            </w:r>
          </w:p>
        </w:tc>
      </w:tr>
      <w:tr w:rsidR="00451A38" w14:paraId="1CB2DEA3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73844" w14:textId="77777777" w:rsidR="00451A38" w:rsidRDefault="00A275AD">
            <w:r>
              <w:rPr>
                <w:b/>
                <w:bCs/>
                <w:sz w:val="19"/>
                <w:szCs w:val="19"/>
              </w:rPr>
              <w:t>Materials in-country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63E59" w14:textId="77777777" w:rsidR="00451A38" w:rsidRDefault="00A275AD">
            <w:proofErr w:type="spellStart"/>
            <w:r>
              <w:rPr>
                <w:sz w:val="19"/>
                <w:szCs w:val="19"/>
              </w:rPr>
              <w:t>Technowrap</w:t>
            </w:r>
            <w:proofErr w:type="spellEnd"/>
            <w:r>
              <w:rPr>
                <w:sz w:val="19"/>
                <w:szCs w:val="19"/>
              </w:rPr>
              <w:t>™ Core Kits are held in-country in Lagos. Emergency repair materials are available for same-day deployment to Lagos-accessible assets.</w:t>
            </w:r>
          </w:p>
        </w:tc>
      </w:tr>
      <w:tr w:rsidR="00451A38" w14:paraId="1D80C1D9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3C1E6" w14:textId="77777777" w:rsidR="00451A38" w:rsidRDefault="00A275AD">
            <w:r>
              <w:rPr>
                <w:b/>
                <w:bCs/>
                <w:sz w:val="19"/>
                <w:szCs w:val="19"/>
              </w:rPr>
              <w:t>Nigerian Content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24E40" w14:textId="77777777" w:rsidR="00451A38" w:rsidRDefault="00A275AD">
            <w:r>
              <w:rPr>
                <w:sz w:val="19"/>
                <w:szCs w:val="19"/>
              </w:rPr>
              <w:t xml:space="preserve">All contract value flows through </w:t>
            </w:r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>. ICR does not invoice the client directly. Nigerian Content is fully protected on every engagement.</w:t>
            </w:r>
          </w:p>
        </w:tc>
      </w:tr>
      <w:tr w:rsidR="00451A38" w14:paraId="4A5228E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95814" w14:textId="77777777" w:rsidR="00451A38" w:rsidRDefault="00A275AD">
            <w:r>
              <w:rPr>
                <w:b/>
                <w:bCs/>
                <w:sz w:val="19"/>
                <w:szCs w:val="19"/>
              </w:rPr>
              <w:t>HSE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4E495" w14:textId="77777777" w:rsidR="00451A38" w:rsidRDefault="00A275AD">
            <w:r>
              <w:rPr>
                <w:sz w:val="19"/>
                <w:szCs w:val="19"/>
              </w:rPr>
              <w:t xml:space="preserve">All field operations are conducted under </w:t>
            </w:r>
            <w:proofErr w:type="spellStart"/>
            <w:r>
              <w:rPr>
                <w:sz w:val="19"/>
                <w:szCs w:val="19"/>
              </w:rPr>
              <w:t>ICR's</w:t>
            </w:r>
            <w:proofErr w:type="spellEnd"/>
            <w:r>
              <w:rPr>
                <w:sz w:val="19"/>
                <w:szCs w:val="19"/>
              </w:rPr>
              <w:t xml:space="preserve"> HSEQ Management System. PTW compliance, SIMOPS awareness, and offshore HSE induction requirements are met on every mobilisation.</w:t>
            </w:r>
          </w:p>
        </w:tc>
      </w:tr>
      <w:tr w:rsidR="00451A38" w14:paraId="4DBBEEE2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91584" w14:textId="77777777" w:rsidR="00451A38" w:rsidRDefault="00A275AD">
            <w:r>
              <w:rPr>
                <w:b/>
                <w:bCs/>
                <w:sz w:val="19"/>
                <w:szCs w:val="19"/>
              </w:rPr>
              <w:t>Collections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B47BE" w14:textId="77777777" w:rsidR="00451A38" w:rsidRDefault="00A275AD"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applies milestone-based payment terms on all contracts. Work does not commence for a client with outstanding balances on prior jobs.</w:t>
            </w:r>
          </w:p>
        </w:tc>
      </w:tr>
    </w:tbl>
    <w:p w14:paraId="3DC82A0B" w14:textId="77777777" w:rsidR="00451A38" w:rsidRDefault="00451A38">
      <w:pPr>
        <w:spacing w:after="200"/>
      </w:pPr>
    </w:p>
    <w:p w14:paraId="4301CEF3" w14:textId="77777777" w:rsidR="00451A38" w:rsidRDefault="00A275AD">
      <w:pPr>
        <w:shd w:val="clear" w:color="auto" w:fill="1A1A1A"/>
        <w:spacing w:before="240"/>
        <w:ind w:left="120" w:right="120"/>
      </w:pPr>
      <w:r>
        <w:rPr>
          <w:b/>
          <w:bCs/>
          <w:color w:val="00A85D"/>
          <w:sz w:val="22"/>
          <w:szCs w:val="22"/>
        </w:rPr>
        <w:t>CONTACT</w:t>
      </w:r>
    </w:p>
    <w:p w14:paraId="376D09C8" w14:textId="77777777" w:rsidR="00451A38" w:rsidRDefault="00451A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451A38" w14:paraId="4773E20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D1EC3" w14:textId="77777777" w:rsidR="00451A38" w:rsidRDefault="00A275AD">
            <w:r>
              <w:rPr>
                <w:b/>
                <w:bCs/>
                <w:sz w:val="19"/>
                <w:szCs w:val="19"/>
              </w:rPr>
              <w:t>Managing Director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20844" w14:textId="1A27E783" w:rsidR="00451A38" w:rsidRDefault="00A275AD">
            <w:r>
              <w:rPr>
                <w:sz w:val="19"/>
                <w:szCs w:val="19"/>
              </w:rPr>
              <w:t xml:space="preserve">Koye Abiola </w:t>
            </w:r>
            <w:r w:rsidR="008C60F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koye@ayewoatunse.com</w:t>
            </w:r>
          </w:p>
        </w:tc>
      </w:tr>
      <w:tr w:rsidR="00451A38" w14:paraId="67E9A3B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42C9F" w14:textId="77777777" w:rsidR="00451A38" w:rsidRDefault="00A275AD">
            <w:r>
              <w:rPr>
                <w:b/>
                <w:bCs/>
                <w:sz w:val="19"/>
                <w:szCs w:val="19"/>
              </w:rPr>
              <w:t>Technical Director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09B10" w14:textId="1EC96A1F" w:rsidR="00451A38" w:rsidRDefault="00A275AD">
            <w:r>
              <w:rPr>
                <w:sz w:val="19"/>
                <w:szCs w:val="19"/>
              </w:rPr>
              <w:t xml:space="preserve">Bernold Le Saux </w:t>
            </w:r>
            <w:r w:rsidR="008C60F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bernold@ayewoatunse.com</w:t>
            </w:r>
          </w:p>
        </w:tc>
      </w:tr>
      <w:tr w:rsidR="00451A38" w14:paraId="5B9885D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A2A01" w14:textId="77777777" w:rsidR="00451A38" w:rsidRDefault="00A275AD">
            <w:r>
              <w:rPr>
                <w:b/>
                <w:bCs/>
                <w:sz w:val="19"/>
                <w:szCs w:val="19"/>
              </w:rPr>
              <w:t>Office Address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A1446" w14:textId="77777777" w:rsidR="00451A38" w:rsidRDefault="00A275AD">
            <w:r>
              <w:rPr>
                <w:sz w:val="19"/>
                <w:szCs w:val="19"/>
              </w:rPr>
              <w:t xml:space="preserve">28 Sikiru </w:t>
            </w:r>
            <w:proofErr w:type="spellStart"/>
            <w:r>
              <w:rPr>
                <w:sz w:val="19"/>
                <w:szCs w:val="19"/>
              </w:rPr>
              <w:t>Oloko</w:t>
            </w:r>
            <w:proofErr w:type="spellEnd"/>
            <w:r>
              <w:rPr>
                <w:sz w:val="19"/>
                <w:szCs w:val="19"/>
              </w:rPr>
              <w:t xml:space="preserve"> Alade Street, Lagos, Nigeria</w:t>
            </w:r>
          </w:p>
        </w:tc>
      </w:tr>
      <w:tr w:rsidR="00451A38" w14:paraId="601391F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535CBB" w14:textId="77777777" w:rsidR="00451A38" w:rsidRDefault="00A275AD">
            <w:r>
              <w:rPr>
                <w:b/>
                <w:bCs/>
                <w:sz w:val="19"/>
                <w:szCs w:val="19"/>
              </w:rPr>
              <w:t>Website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91A51" w14:textId="77777777" w:rsidR="00451A38" w:rsidRDefault="00A275AD">
            <w:r>
              <w:rPr>
                <w:sz w:val="19"/>
                <w:szCs w:val="19"/>
              </w:rPr>
              <w:t>ayewoatunse.com</w:t>
            </w:r>
          </w:p>
        </w:tc>
      </w:tr>
      <w:tr w:rsidR="00451A38" w14:paraId="418C95C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3397F" w14:textId="77777777" w:rsidR="00451A38" w:rsidRDefault="00A275AD">
            <w:r>
              <w:rPr>
                <w:b/>
                <w:bCs/>
                <w:sz w:val="19"/>
                <w:szCs w:val="19"/>
              </w:rPr>
              <w:t>Registered Entity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1A0A4" w14:textId="729F05EC" w:rsidR="00451A38" w:rsidRDefault="00A275AD">
            <w:proofErr w:type="spellStart"/>
            <w:r>
              <w:rPr>
                <w:sz w:val="19"/>
                <w:szCs w:val="19"/>
              </w:rPr>
              <w:t>Ayewo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Atunse</w:t>
            </w:r>
            <w:proofErr w:type="spellEnd"/>
            <w:r>
              <w:rPr>
                <w:sz w:val="19"/>
                <w:szCs w:val="19"/>
              </w:rPr>
              <w:t xml:space="preserve"> Oil &amp; Gas Services </w:t>
            </w:r>
            <w:r w:rsidR="008C60F9">
              <w:rPr>
                <w:sz w:val="19"/>
                <w:szCs w:val="19"/>
              </w:rPr>
              <w:t>Ltd | RC</w:t>
            </w:r>
            <w:r>
              <w:rPr>
                <w:sz w:val="19"/>
                <w:szCs w:val="19"/>
              </w:rPr>
              <w:t xml:space="preserve"> </w:t>
            </w:r>
            <w:r w:rsidR="008C60F9">
              <w:rPr>
                <w:sz w:val="19"/>
                <w:szCs w:val="19"/>
              </w:rPr>
              <w:t>9477114 | TIN</w:t>
            </w:r>
            <w:r>
              <w:rPr>
                <w:sz w:val="19"/>
                <w:szCs w:val="19"/>
              </w:rPr>
              <w:t>: 2622459761515</w:t>
            </w:r>
          </w:p>
        </w:tc>
      </w:tr>
    </w:tbl>
    <w:p w14:paraId="495C050F" w14:textId="77777777" w:rsidR="00451A38" w:rsidRDefault="00451A38">
      <w:pPr>
        <w:spacing w:after="80"/>
      </w:pPr>
    </w:p>
    <w:p w14:paraId="6A3AE8A3" w14:textId="77777777" w:rsidR="00451A38" w:rsidRDefault="00A275AD">
      <w:pPr>
        <w:pBdr>
          <w:top w:val="single" w:sz="6" w:space="0" w:color="008751"/>
        </w:pBdr>
        <w:spacing w:before="120"/>
      </w:pPr>
      <w:r>
        <w:rPr>
          <w:color w:val="666666"/>
          <w:sz w:val="16"/>
          <w:szCs w:val="16"/>
        </w:rPr>
        <w:t>AYEWO ATUNSE Oil &amp; Gas Services Ltd — RC 9477114 — Lagos, Nigeria — Confidential — April 2026</w:t>
      </w:r>
    </w:p>
    <w:sectPr w:rsidR="00451A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5605" w14:textId="77777777" w:rsidR="00A224E5" w:rsidRDefault="00A224E5">
      <w:r>
        <w:separator/>
      </w:r>
    </w:p>
  </w:endnote>
  <w:endnote w:type="continuationSeparator" w:id="0">
    <w:p w14:paraId="4972B51F" w14:textId="77777777" w:rsidR="00A224E5" w:rsidRDefault="00A2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801E" w14:textId="77777777" w:rsidR="00451A38" w:rsidRDefault="00A275AD">
    <w:pPr>
      <w:pBdr>
        <w:top w:val="single" w:sz="4" w:space="4" w:color="CCCCCC"/>
      </w:pBdr>
      <w:tabs>
        <w:tab w:val="right" w:pos="9026"/>
      </w:tabs>
      <w:spacing w:before="80"/>
      <w:jc w:val="center"/>
      <w:pBdr>
        <w:top w:val="single" w:sz="8" w:space="4" w:color="00A85D"/>
      </w:pBdr>
    </w:pPr>
    <w:r>
      <w:rPr>
        <w:rFonts w:ascii="Arial Narrow" w:hAnsi="Arial Narrow"/>
        <w:color w:val="666666"/>
        <w:sz w:val="14"/>
      </w:rPr>
      <w:t>AYEWO ATUNṢE Oil &amp; Gas Services Ltd — RC 9477114 — Lagos, Nigeria —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ABEA" w14:textId="77777777" w:rsidR="00A224E5" w:rsidRDefault="00A224E5">
      <w:r>
        <w:separator/>
      </w:r>
    </w:p>
  </w:footnote>
  <w:footnote w:type="continuationSeparator" w:id="0">
    <w:p w14:paraId="501DAF29" w14:textId="77777777" w:rsidR="00A224E5" w:rsidRDefault="00A2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8" w:space="0" w:color="008751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226"/>
      <w:gridCol w:w="2800"/>
    </w:tblGrid>
    <w:tr w:rsidR="00451A38" w14:paraId="6C6C6DF6" w14:textId="77777777">
      <w:tc>
        <w:tcPr>
          <w:tcW w:w="62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60" w:type="dxa"/>
            <w:right w:w="0" w:type="dxa"/>
          </w:tcMar>
        </w:tcPr>
        <w:p w14:paraId="1C69E442" w14:textId="77777777" w:rsidR="00451A38" w:rsidRDefault="00A275AD">
          <w:r>
            <w:rPr>
              <w:b/>
              <w:bCs/>
              <w:color w:val="008751"/>
              <w:sz w:val="24"/>
              <w:szCs w:val="24"/>
            </w:rPr>
            <w:t>AYEWO ATUNṢE</w:t>
          </w:r>
        </w:p>
        <w:p w14:paraId="256671C9" w14:textId="77777777" w:rsidR="00451A38" w:rsidRDefault="00A275AD">
          <w:r>
            <w:rPr>
              <w:color w:val="666666"/>
              <w:sz w:val="16"/>
              <w:szCs w:val="16"/>
            </w:rPr>
            <w:t xml:space="preserve">OIL &amp; GAS SERVICES </w:t>
          </w:r>
          <w:proofErr w:type="gramStart"/>
          <w:r>
            <w:rPr>
              <w:color w:val="666666"/>
              <w:sz w:val="16"/>
              <w:szCs w:val="16"/>
            </w:rPr>
            <w:t>NIGERIA  |</w:t>
          </w:r>
          <w:proofErr w:type="gramEnd"/>
          <w:r>
            <w:rPr>
              <w:color w:val="666666"/>
              <w:sz w:val="16"/>
              <w:szCs w:val="16"/>
            </w:rPr>
            <w:t xml:space="preserve">  RC 9477114</w:t>
          </w:r>
        </w:p>
      </w:tc>
      <w:tc>
        <w:tcPr>
          <w:tcW w:w="2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60" w:type="dxa"/>
            <w:right w:w="0" w:type="dxa"/>
          </w:tcMar>
          <w:vAlign w:val="bottom"/>
        </w:tcPr>
        <w:p w14:paraId="6627F7E2" w14:textId="77777777" w:rsidR="00451A38" w:rsidRDefault="00A275AD">
          <w:pPr>
            <w:jc w:val="right"/>
          </w:pPr>
          <w:r>
            <w:rPr>
              <w:sz w:val="18"/>
              <w:szCs w:val="18"/>
            </w:rPr>
            <w:t>Capability Statement</w:t>
          </w:r>
        </w:p>
        <w:p w14:paraId="265D82B7" w14:textId="77777777" w:rsidR="00451A38" w:rsidRDefault="00A275AD">
          <w:pPr>
            <w:jc w:val="right"/>
          </w:pPr>
          <w:r>
            <w:rPr>
              <w:color w:val="666666"/>
              <w:sz w:val="16"/>
              <w:szCs w:val="16"/>
            </w:rPr>
            <w:t xml:space="preserve">April </w:t>
          </w:r>
          <w:proofErr w:type="gramStart"/>
          <w:r>
            <w:rPr>
              <w:color w:val="666666"/>
              <w:sz w:val="16"/>
              <w:szCs w:val="16"/>
            </w:rPr>
            <w:t>2026  |</w:t>
          </w:r>
          <w:proofErr w:type="gramEnd"/>
          <w:r>
            <w:rPr>
              <w:color w:val="666666"/>
              <w:sz w:val="16"/>
              <w:szCs w:val="16"/>
            </w:rPr>
            <w:t xml:space="preserve">  Confidential</w:t>
          </w:r>
        </w:p>
      </w:tc>
    </w:tr>
  </w:tbl>
  <w:p>
    <w:r>
      <w:drawing>
        <wp:inline xmlns:a="http://schemas.openxmlformats.org/drawingml/2006/main" xmlns:pic="http://schemas.openxmlformats.org/drawingml/2006/picture">
          <wp:extent cx="1620000" cy="33615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yewo_logo_on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33615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80"/>
      <w:pBdr>
        <w:bottom w:val="single" w:sz="12" w:space="1" w:color="00A85D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755"/>
    <w:multiLevelType w:val="hybridMultilevel"/>
    <w:tmpl w:val="E77405E6"/>
    <w:lvl w:ilvl="0" w:tplc="8EC244A6">
      <w:start w:val="1"/>
      <w:numFmt w:val="bullet"/>
      <w:lvlText w:val="•"/>
      <w:lvlJc w:val="left"/>
      <w:pPr>
        <w:ind w:left="540" w:hanging="260"/>
      </w:pPr>
    </w:lvl>
    <w:lvl w:ilvl="1" w:tplc="F3DAAFD0">
      <w:numFmt w:val="decimal"/>
      <w:lvlText w:val=""/>
      <w:lvlJc w:val="left"/>
    </w:lvl>
    <w:lvl w:ilvl="2" w:tplc="440020DA">
      <w:numFmt w:val="decimal"/>
      <w:lvlText w:val=""/>
      <w:lvlJc w:val="left"/>
    </w:lvl>
    <w:lvl w:ilvl="3" w:tplc="9FE238FC">
      <w:numFmt w:val="decimal"/>
      <w:lvlText w:val=""/>
      <w:lvlJc w:val="left"/>
    </w:lvl>
    <w:lvl w:ilvl="4" w:tplc="6FAEFC92">
      <w:numFmt w:val="decimal"/>
      <w:lvlText w:val=""/>
      <w:lvlJc w:val="left"/>
    </w:lvl>
    <w:lvl w:ilvl="5" w:tplc="27344160">
      <w:numFmt w:val="decimal"/>
      <w:lvlText w:val=""/>
      <w:lvlJc w:val="left"/>
    </w:lvl>
    <w:lvl w:ilvl="6" w:tplc="68667B46">
      <w:numFmt w:val="decimal"/>
      <w:lvlText w:val=""/>
      <w:lvlJc w:val="left"/>
    </w:lvl>
    <w:lvl w:ilvl="7" w:tplc="9B6C11CC">
      <w:numFmt w:val="decimal"/>
      <w:lvlText w:val=""/>
      <w:lvlJc w:val="left"/>
    </w:lvl>
    <w:lvl w:ilvl="8" w:tplc="16C60860">
      <w:numFmt w:val="decimal"/>
      <w:lvlText w:val=""/>
      <w:lvlJc w:val="left"/>
    </w:lvl>
  </w:abstractNum>
  <w:abstractNum w:abstractNumId="1" w15:restartNumberingAfterBreak="0">
    <w:nsid w:val="18506A1C"/>
    <w:multiLevelType w:val="hybridMultilevel"/>
    <w:tmpl w:val="F37C94A2"/>
    <w:lvl w:ilvl="0" w:tplc="A804220A">
      <w:start w:val="1"/>
      <w:numFmt w:val="bullet"/>
      <w:lvlText w:val="●"/>
      <w:lvlJc w:val="left"/>
      <w:pPr>
        <w:ind w:left="720" w:hanging="360"/>
      </w:pPr>
    </w:lvl>
    <w:lvl w:ilvl="1" w:tplc="2B20D8E6">
      <w:start w:val="1"/>
      <w:numFmt w:val="bullet"/>
      <w:lvlText w:val="○"/>
      <w:lvlJc w:val="left"/>
      <w:pPr>
        <w:ind w:left="1440" w:hanging="360"/>
      </w:pPr>
    </w:lvl>
    <w:lvl w:ilvl="2" w:tplc="9976D80C">
      <w:start w:val="1"/>
      <w:numFmt w:val="bullet"/>
      <w:lvlText w:val="■"/>
      <w:lvlJc w:val="left"/>
      <w:pPr>
        <w:ind w:left="2160" w:hanging="360"/>
      </w:pPr>
    </w:lvl>
    <w:lvl w:ilvl="3" w:tplc="DF94E5A2">
      <w:start w:val="1"/>
      <w:numFmt w:val="bullet"/>
      <w:lvlText w:val="●"/>
      <w:lvlJc w:val="left"/>
      <w:pPr>
        <w:ind w:left="2880" w:hanging="360"/>
      </w:pPr>
    </w:lvl>
    <w:lvl w:ilvl="4" w:tplc="27123172">
      <w:start w:val="1"/>
      <w:numFmt w:val="bullet"/>
      <w:lvlText w:val="○"/>
      <w:lvlJc w:val="left"/>
      <w:pPr>
        <w:ind w:left="3600" w:hanging="360"/>
      </w:pPr>
    </w:lvl>
    <w:lvl w:ilvl="5" w:tplc="58BEF384">
      <w:start w:val="1"/>
      <w:numFmt w:val="bullet"/>
      <w:lvlText w:val="■"/>
      <w:lvlJc w:val="left"/>
      <w:pPr>
        <w:ind w:left="4320" w:hanging="360"/>
      </w:pPr>
    </w:lvl>
    <w:lvl w:ilvl="6" w:tplc="C0B45326">
      <w:start w:val="1"/>
      <w:numFmt w:val="bullet"/>
      <w:lvlText w:val="●"/>
      <w:lvlJc w:val="left"/>
      <w:pPr>
        <w:ind w:left="5040" w:hanging="360"/>
      </w:pPr>
    </w:lvl>
    <w:lvl w:ilvl="7" w:tplc="555658DE">
      <w:start w:val="1"/>
      <w:numFmt w:val="bullet"/>
      <w:lvlText w:val="●"/>
      <w:lvlJc w:val="left"/>
      <w:pPr>
        <w:ind w:left="5760" w:hanging="360"/>
      </w:pPr>
    </w:lvl>
    <w:lvl w:ilvl="8" w:tplc="D3B0A5BC">
      <w:start w:val="1"/>
      <w:numFmt w:val="bullet"/>
      <w:lvlText w:val="●"/>
      <w:lvlJc w:val="left"/>
      <w:pPr>
        <w:ind w:left="6480" w:hanging="360"/>
      </w:pPr>
    </w:lvl>
  </w:abstractNum>
  <w:num w:numId="1" w16cid:durableId="711466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38"/>
    <w:rsid w:val="001A1D73"/>
    <w:rsid w:val="001D4306"/>
    <w:rsid w:val="00451A38"/>
    <w:rsid w:val="008C60F9"/>
    <w:rsid w:val="009951F0"/>
    <w:rsid w:val="00A224E5"/>
    <w:rsid w:val="00A275AD"/>
    <w:rsid w:val="00B439A4"/>
    <w:rsid w:val="00E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21C8"/>
  <w15:docId w15:val="{7818C013-E0D7-4E2E-9ED0-F835AC77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koyejo abiola</cp:lastModifiedBy>
  <cp:revision>2</cp:revision>
  <dcterms:created xsi:type="dcterms:W3CDTF">2026-04-13T17:29:00Z</dcterms:created>
  <dcterms:modified xsi:type="dcterms:W3CDTF">2026-04-13T17:29:00Z</dcterms:modified>
</cp:coreProperties>
</file>