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6120000" cy="393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yewo_banner_heade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93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600000" cy="747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yewo_logo_on_whit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747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rFonts w:ascii="Arial Narrow" w:hAnsi="Arial Narrow"/>
          <w:b/>
          <w:sz w:val="20"/>
        </w:rPr>
        <w:t>AYEWO ATUNṢE Oil &amp; Gas Services Ltd</w:t>
      </w:r>
    </w:p>
    <w:p>
      <w:r>
        <w:rPr>
          <w:rFonts w:ascii="Arial Narrow" w:hAnsi="Arial Narrow"/>
          <w:color w:val="666666"/>
          <w:sz w:val="18"/>
        </w:rPr>
        <w:t>28 Sikiru Oloko Alade Street, Off Adebayo Doherty, Lagos, NIGERIA</w:t>
        <w:br/>
        <w:t>RC 9477114 — TIN 2622459761515</w:t>
      </w:r>
    </w:p>
    <w:p/>
    <w:p>
      <w:pPr>
        <w:jc w:val="center"/>
      </w:pPr>
      <w:r>
        <w:rPr>
          <w:rFonts w:ascii="Arial Narrow" w:hAnsi="Arial Narrow"/>
          <w:sz w:val="28"/>
        </w:rPr>
        <w:t>Technical &amp; Commercial Proposal for</w:t>
      </w:r>
    </w:p>
    <w:p/>
    <w:p>
      <w:pPr>
        <w:spacing w:after="80"/>
      </w:pPr>
      <w:r>
        <w:rPr>
          <w:rFonts w:ascii="Arial Narrow" w:hAnsi="Arial Narrow"/>
          <w:i/>
          <w:color w:val="E65100"/>
          <w:sz w:val="18"/>
        </w:rPr>
        <w:t>⟨ INSERT CLIENT LOGO HERE ⟩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PROJECT:</w:t>
            </w:r>
          </w:p>
        </w:tc>
        <w:tc>
          <w:tcPr>
            <w:tcW w:type="dxa" w:w="481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666666"/>
                <w:sz w:val="18"/>
              </w:rPr>
              <w:t>⟨ Project description ⟩</w:t>
            </w:r>
          </w:p>
        </w:tc>
      </w:tr>
      <w:tr>
        <w:tc>
          <w:tcPr>
            <w:tcW w:type="dxa" w:w="283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CLIENT REFERENCE:</w:t>
            </w:r>
          </w:p>
        </w:tc>
        <w:tc>
          <w:tcPr>
            <w:tcW w:type="dxa" w:w="481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666666"/>
                <w:sz w:val="18"/>
              </w:rPr>
              <w:t>⟨ Client PO / RFQ reference ⟩</w:t>
            </w:r>
          </w:p>
        </w:tc>
      </w:tr>
      <w:tr>
        <w:tc>
          <w:tcPr>
            <w:tcW w:type="dxa" w:w="283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DOCUMENT REF. NR.</w:t>
            </w:r>
          </w:p>
        </w:tc>
        <w:tc>
          <w:tcPr>
            <w:tcW w:type="dxa" w:w="481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666666"/>
                <w:sz w:val="18"/>
              </w:rPr>
              <w:t>AA-XXXX-AIS-COM-01</w:t>
            </w:r>
          </w:p>
        </w:tc>
      </w:tr>
      <w:tr>
        <w:tc>
          <w:tcPr>
            <w:tcW w:type="dxa" w:w="283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AYEWO PROJECT REF NR.</w:t>
            </w:r>
          </w:p>
        </w:tc>
        <w:tc>
          <w:tcPr>
            <w:tcW w:type="dxa" w:w="481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666666"/>
                <w:sz w:val="18"/>
              </w:rPr>
              <w:t>AA XXXX — ⟨ Client ⟩: ⟨ Scope summary ⟩</w:t>
            </w:r>
          </w:p>
        </w:tc>
      </w:tr>
    </w:tbl>
    <w:p/>
    <w:p>
      <w:r>
        <w:rPr>
          <w:rFonts w:ascii="Arial Narrow" w:hAnsi="Arial Narrow"/>
          <w:i/>
          <w:color w:val="666666"/>
          <w:sz w:val="16"/>
        </w:rPr>
        <w:t>This is a Project Controlled Document and should be retained by an authorized person only.</w:t>
        <w:br/>
        <w:t>If this document was not specifically issued to its user, then the user must obtain a controlled copy from the Project Manager.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Rev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Date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Comments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Prepared By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Approved</w:t>
            </w:r>
          </w:p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00</w:t>
            </w:r>
          </w:p>
        </w:tc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DD-MMM-YYYY</w:t>
            </w:r>
          </w:p>
        </w:tc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Issue for Submission</w:t>
            </w:r>
          </w:p>
        </w:tc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BLS</w:t>
            </w:r>
          </w:p>
        </w:tc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</w:tr>
    </w:tbl>
    <w:p>
      <w:r>
        <w:br w:type="page"/>
      </w:r>
    </w:p>
    <w:p>
      <w:r>
        <w:rPr>
          <w:rFonts w:ascii="Arial Narrow" w:hAnsi="Arial Narrow"/>
          <w:b/>
          <w:color w:val="1A1A1A"/>
          <w:sz w:val="36"/>
        </w:rPr>
        <w:t>Contents</w:t>
      </w:r>
    </w:p>
    <w:p/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01  </w:t>
      </w:r>
      <w:r>
        <w:rPr>
          <w:rFonts w:ascii="Arial Narrow" w:hAnsi="Arial Narrow"/>
          <w:b/>
          <w:color w:val="1A1A1A"/>
          <w:sz w:val="24"/>
        </w:rPr>
        <w:t>SCOPE OF WORK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02  </w:t>
      </w:r>
      <w:r>
        <w:rPr>
          <w:rFonts w:ascii="Arial Narrow" w:hAnsi="Arial Narrow"/>
          <w:b/>
          <w:color w:val="1A1A1A"/>
          <w:sz w:val="24"/>
        </w:rPr>
        <w:t>EXECUTION METHODOLOGY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03  </w:t>
      </w:r>
      <w:r>
        <w:rPr>
          <w:rFonts w:ascii="Arial Narrow" w:hAnsi="Arial Narrow"/>
          <w:b/>
          <w:color w:val="1A1A1A"/>
          <w:sz w:val="24"/>
        </w:rPr>
        <w:t>MATERIAL REQUIREMENTS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04  </w:t>
      </w:r>
      <w:r>
        <w:rPr>
          <w:rFonts w:ascii="Arial Narrow" w:hAnsi="Arial Narrow"/>
          <w:b/>
          <w:color w:val="1A1A1A"/>
          <w:sz w:val="24"/>
        </w:rPr>
        <w:t>SCHEDULE AND MANPOWER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05  </w:t>
      </w:r>
      <w:r>
        <w:rPr>
          <w:rFonts w:ascii="Arial Narrow" w:hAnsi="Arial Narrow"/>
          <w:b/>
          <w:color w:val="1A1A1A"/>
          <w:sz w:val="24"/>
        </w:rPr>
        <w:t>QUALITY, HEALTH AND SAFETY MANAGEMENT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06  </w:t>
      </w:r>
      <w:r>
        <w:rPr>
          <w:rFonts w:ascii="Arial Narrow" w:hAnsi="Arial Narrow"/>
          <w:b/>
          <w:color w:val="1A1A1A"/>
          <w:sz w:val="24"/>
        </w:rPr>
        <w:t>COMMERCIAL PROPOSAL</w:t>
      </w:r>
    </w:p>
    <w:p>
      <w:pPr>
        <w:spacing w:after="160"/>
      </w:pPr>
      <w:r>
        <w:rPr>
          <w:rFonts w:ascii="Arial Narrow" w:hAnsi="Arial Narrow"/>
          <w:b/>
          <w:color w:val="00A85D"/>
          <w:sz w:val="24"/>
        </w:rPr>
        <w:t xml:space="preserve">07  </w:t>
      </w:r>
      <w:r>
        <w:rPr>
          <w:rFonts w:ascii="Arial Narrow" w:hAnsi="Arial Narrow"/>
          <w:b/>
          <w:color w:val="1A1A1A"/>
          <w:sz w:val="24"/>
        </w:rPr>
        <w:t>TERMS AND CONDITIONS</w:t>
      </w:r>
    </w:p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1. SCOPE OF WORK</w:t>
            </w:r>
          </w:p>
        </w:tc>
      </w:tr>
    </w:tbl>
    <w:p/>
    <w:p>
      <w:pPr>
        <w:spacing w:after="80"/>
      </w:pPr>
      <w:r>
        <w:rPr>
          <w:rFonts w:ascii="Arial Narrow" w:hAnsi="Arial Narrow"/>
          <w:i/>
          <w:color w:val="E65100"/>
          <w:sz w:val="18"/>
        </w:rPr>
        <w:t>⟨ CUSTOMIZE THIS SECTION FOR EACH PROJECT ⟩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1.1 Scope Summary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⟨ Describe the asset, location, and the defect requiring repair. Example: ⟩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The [ASSET NAME] located [LOCATION] requires composite repair due to [extensive corrosion / wall thinning / leak] identified during routine inspection. The objective is to restore structural integrity using Technowrap™ 2K composite wrapping technology, in support of the asset's life extension program.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Cleaning and surface preparation of all corroded areas using UHP water jetting and mechanical preparation.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UTM (Ultrasonic Thickness Measurement) gauging on a 250 × 250 mm grid to assess remaining plate thickness.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Composite Technowrap™ 2K wrapping repair of approximately ⟨XX⟩ m² of affected area (⟨X⟩ layers of 2K cloth) per design calculation ⟨WTR-XXXXX⟩.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Waste collection, containment and removal of all debris.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1.2 Exclusions</w:t>
      </w:r>
    </w:p>
    <w:p>
      <w:r>
        <w:rPr>
          <w:rFonts w:ascii="Arial Narrow" w:hAnsi="Arial Narrow"/>
          <w:b/>
          <w:color w:val="C80000"/>
          <w:sz w:val="18"/>
        </w:rPr>
        <w:t>EXCLUSION — HYDROTEST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This proposal does not include hydrostatic testing. Hydrostatic testing is performed by the client's offshore maintenance crews upon completion and acceptance of all composite repair works.</w:t>
      </w:r>
    </w:p>
    <w:p>
      <w:r>
        <w:rPr>
          <w:rFonts w:ascii="Arial Narrow" w:hAnsi="Arial Narrow"/>
          <w:b/>
          <w:color w:val="C80000"/>
          <w:sz w:val="18"/>
        </w:rPr>
        <w:t>EXCLUSION — NORM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This quotation assumes no Naturally Occurring Radioactive Material (NORM) is present. Should NORM be identified, the scope, methodology, and cost will require significant revision.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1.3 Access Requirements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⟨ Describe access method — scaffolding, rope access, etc. Specify who provides it. ⟩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1.4 Reference Documents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⟨ WTR-XXXXX ⟩ — AYEWO ATUNṢE / ICR Integrity — Composite Repair Design Calculation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⟨ Client reference ⟩ — Construction / Location drawings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⟨ Inspection report reference ⟩ — UTM inspection data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ICR-BMS-01-OPS-PRO-004 — Technowrap™ Master Installation Procedure</w:t>
      </w:r>
    </w:p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2. EXECUTION METHODOLOGY</w:t>
            </w:r>
          </w:p>
        </w:tc>
      </w:tr>
    </w:tbl>
    <w:p/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All composite repairs are executed in strict accordance with the ICR Integrity Technowrap™ Master Installation Procedure (ICR-BMS-01-OPS-PRO-004). The methodology below describes the standard execution phases.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2.1 Phase 1 — Mobilisation &amp; Site Setup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Mobilise all personnel and equipment to the asset via ⟨logistics method⟩.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Attend client HSE induction and obtain work permits.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Set up UHP water jetting equipment (40,000 PSI), MBX Bristle Blasters, blast pot, and composite repair materials in designated staging area.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Coordinate with client for scaffolding configuration, ventilation, and utilities (water, air, power).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2.2 Phase 2 — Cleaning, Surface Preparation &amp; Inspection</w:t>
      </w:r>
    </w:p>
    <w:p>
      <w:r>
        <w:rPr>
          <w:rFonts w:ascii="Arial Narrow" w:hAnsi="Arial Narrow"/>
          <w:b/>
          <w:sz w:val="20"/>
        </w:rPr>
        <w:t>UHP Water Jetting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The primary cleaning method is Ultra-High Pressure (UHP) water jetting at 40,000 PSI, operated by a certified UHP Technician (Expat) supported by Skilled UHP Operators (National). The UHP system removes all loose and adherent corrosion products, scale, and marine growth from internal/external surfaces.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657600" cy="5079492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hp_blasting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0794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Arial Narrow" w:hAnsi="Arial Narrow"/>
          <w:i/>
          <w:color w:val="00A85D"/>
          <w:sz w:val="16"/>
        </w:rPr>
        <w:t>Figure 1: UHP Water Jetting Equipment</w:t>
      </w:r>
    </w:p>
    <w:p>
      <w:r>
        <w:rPr>
          <w:rFonts w:ascii="Arial Narrow" w:hAnsi="Arial Narrow"/>
          <w:b/>
          <w:sz w:val="20"/>
        </w:rPr>
        <w:t>Mechanical Surface Preparation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Surfaces designated for composite application undergo mechanical preparation using MBX Bristle Blasters and/or abrasive blasting:</w:t>
      </w:r>
    </w:p>
    <w:p>
      <w:pPr>
        <w:pStyle w:val="ListBullet"/>
        <w:spacing w:after="40"/>
      </w:pPr>
      <w:r>
        <w:rPr>
          <w:rFonts w:ascii="Arial Narrow" w:hAnsi="Arial Narrow"/>
          <w:b/>
          <w:color w:val="1A1A1A"/>
          <w:sz w:val="19"/>
        </w:rPr>
        <w:t>Near-white metal, surface profile ≥65 μm.</w:t>
      </w:r>
      <w:r>
        <w:rPr>
          <w:rFonts w:ascii="Arial Narrow" w:hAnsi="Arial Narrow"/>
          <w:color w:val="333333"/>
          <w:sz w:val="19"/>
        </w:rPr>
        <w:t xml:space="preserve">Sa 2.5 (Abrasive Blasting): </w:t>
      </w:r>
    </w:p>
    <w:p>
      <w:pPr>
        <w:pStyle w:val="ListBullet"/>
        <w:spacing w:after="40"/>
      </w:pPr>
      <w:r>
        <w:rPr>
          <w:rFonts w:ascii="Arial Narrow" w:hAnsi="Arial Narrow"/>
          <w:b/>
          <w:color w:val="1A1A1A"/>
          <w:sz w:val="19"/>
        </w:rPr>
        <w:t>Bristle Blaster preparation, surface profile ≥40 μm on restricted areas.</w:t>
      </w:r>
      <w:r>
        <w:rPr>
          <w:rFonts w:ascii="Arial Narrow" w:hAnsi="Arial Narrow"/>
          <w:color w:val="333333"/>
          <w:sz w:val="19"/>
        </w:rPr>
        <w:t xml:space="preserve">ST3 (Mechanical): 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Surface preparation extends 25 mm beyond the repair area to ensure the composite lands on prepared substrate. All profile measurements are taken using Testex X-Coarse replica tape and recorded for the close-out report.</w:t>
      </w:r>
    </w:p>
    <w:p>
      <w:r>
        <w:rPr>
          <w:rFonts w:ascii="Arial Narrow" w:hAnsi="Arial Narrow"/>
          <w:b/>
          <w:sz w:val="20"/>
        </w:rPr>
        <w:t>UTM Inspection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Ultrasonic Thickness Measurement performed by a certified NDT Inspector on a 250 × 250 mm grid across all cleaned surfaces. Comprehensive inspection report with updated corrosion map issued for client approval prior to composite repair.</w:t>
      </w:r>
    </w:p>
    <w:p>
      <w:r>
        <w:br w:type="page"/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2.3 Phase 3 — Composite Repair Application</w:t>
      </w:r>
    </w:p>
    <w:p>
      <w:r>
        <w:rPr>
          <w:rFonts w:ascii="Arial Narrow" w:hAnsi="Arial Narrow"/>
          <w:b/>
          <w:color w:val="008751"/>
          <w:sz w:val="20"/>
        </w:rPr>
        <w:t>Technowrap™ 2K — Technology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Technowrap™ is an advanced cold-work composite repair system by ICR Integrity. E-glass fibrous reinforcements impregnated with a two-part epoxy resin. Fully qualified to ISO 24817:2017, ASME PCC-2 Article 4.1, with ABS Product Design Assessment approval. Temperature range: -75°C to 220°C. Pressure: up to 1,400 BarG. Design life: up to 20 years.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4114800" cy="2741486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chnowrap_repair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414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Arial Narrow" w:hAnsi="Arial Narrow"/>
          <w:i/>
          <w:color w:val="00A85D"/>
          <w:sz w:val="16"/>
        </w:rPr>
        <w:t>Figure 2: Technowrap™ Composite Repair Application</w:t>
      </w:r>
    </w:p>
    <w:p>
      <w:pPr>
        <w:spacing w:before="160" w:after="80"/>
      </w:pPr>
      <w:r>
        <w:rPr>
          <w:rFonts w:ascii="Arial Narrow" w:hAnsi="Arial Narrow"/>
          <w:b/>
          <w:color w:val="1A1A1A"/>
          <w:sz w:val="20"/>
        </w:rPr>
        <w:t>Application Methodology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The following steps are performed in strict accordance with ICR-BMS-01-OPS-PRO-004:</w:t>
      </w:r>
    </w:p>
    <w:p>
      <w:pPr>
        <w:spacing w:after="80" w:line="260" w:lineRule="exact"/>
      </w:pPr>
      <w:r>
        <w:rPr>
          <w:rFonts w:ascii="Arial Narrow" w:hAnsi="Arial Narrow"/>
          <w:b/>
          <w:color w:val="00A85D"/>
          <w:sz w:val="19"/>
        </w:rPr>
        <w:t xml:space="preserve">1. </w:t>
      </w:r>
      <w:r>
        <w:rPr>
          <w:rFonts w:ascii="Arial Narrow" w:hAnsi="Arial Narrow"/>
          <w:b/>
          <w:sz w:val="19"/>
        </w:rPr>
        <w:t xml:space="preserve">Surface Verification: </w:t>
      </w:r>
      <w:r>
        <w:rPr>
          <w:rFonts w:ascii="Arial Narrow" w:hAnsi="Arial Narrow"/>
          <w:color w:val="333333"/>
          <w:sz w:val="19"/>
        </w:rPr>
        <w:t>Confirm cleanliness (Sa 2.5 / ST3), profile standards (≥65 μm blast / ≥40 μm mechanical), humidity &lt;85%, substrate ≥3°C above dew point.</w:t>
      </w:r>
    </w:p>
    <w:p>
      <w:pPr>
        <w:spacing w:after="80" w:line="260" w:lineRule="exact"/>
      </w:pPr>
      <w:r>
        <w:rPr>
          <w:rFonts w:ascii="Arial Narrow" w:hAnsi="Arial Narrow"/>
          <w:b/>
          <w:color w:val="00A85D"/>
          <w:sz w:val="19"/>
        </w:rPr>
        <w:t xml:space="preserve">2. </w:t>
      </w:r>
      <w:r>
        <w:rPr>
          <w:rFonts w:ascii="Arial Narrow" w:hAnsi="Arial Narrow"/>
          <w:b/>
          <w:sz w:val="19"/>
        </w:rPr>
        <w:t xml:space="preserve">3K Primer Application: </w:t>
      </w:r>
      <w:r>
        <w:rPr>
          <w:rFonts w:ascii="Arial Narrow" w:hAnsi="Arial Narrow"/>
          <w:color w:val="333333"/>
          <w:sz w:val="19"/>
        </w:rPr>
        <w:t>Apply Technowrap 3K primer (Silane + Methanol + Fresh Water, ratio 1:20:100) to prepared substrate. Primer must stand 1 hour before use, then be painted onto surface and left 30 minutes for chemical reaction. Dried with hot air blower.</w:t>
      </w:r>
    </w:p>
    <w:p>
      <w:pPr>
        <w:spacing w:after="80" w:line="260" w:lineRule="exact"/>
      </w:pPr>
      <w:r>
        <w:rPr>
          <w:rFonts w:ascii="Arial Narrow" w:hAnsi="Arial Narrow"/>
          <w:b/>
          <w:color w:val="00A85D"/>
          <w:sz w:val="19"/>
        </w:rPr>
        <w:t xml:space="preserve">3. </w:t>
      </w:r>
      <w:r>
        <w:rPr>
          <w:rFonts w:ascii="Arial Narrow" w:hAnsi="Arial Narrow"/>
          <w:b/>
          <w:sz w:val="19"/>
        </w:rPr>
        <w:t xml:space="preserve">Gel Coat: </w:t>
      </w:r>
      <w:r>
        <w:rPr>
          <w:rFonts w:ascii="Arial Narrow" w:hAnsi="Arial Narrow"/>
          <w:color w:val="333333"/>
          <w:sz w:val="19"/>
        </w:rPr>
        <w:t>Mix Technowrap Resin Part A and Part B per measurement chart. Apply thorough coating of gel coat over prepared surface within 4 hours of surface preparation. Failure to meet the 4-hour window requires re-preparation of the substrate.</w:t>
      </w:r>
    </w:p>
    <w:p>
      <w:pPr>
        <w:spacing w:after="80" w:line="260" w:lineRule="exact"/>
      </w:pPr>
      <w:r>
        <w:rPr>
          <w:rFonts w:ascii="Arial Narrow" w:hAnsi="Arial Narrow"/>
          <w:b/>
          <w:color w:val="00A85D"/>
          <w:sz w:val="19"/>
        </w:rPr>
        <w:t xml:space="preserve">4. </w:t>
      </w:r>
      <w:r>
        <w:rPr>
          <w:rFonts w:ascii="Arial Narrow" w:hAnsi="Arial Narrow"/>
          <w:b/>
          <w:sz w:val="19"/>
        </w:rPr>
        <w:t xml:space="preserve">Profiling: </w:t>
      </w:r>
      <w:r>
        <w:rPr>
          <w:rFonts w:ascii="Arial Narrow" w:hAnsi="Arial Narrow"/>
          <w:color w:val="333333"/>
          <w:sz w:val="19"/>
        </w:rPr>
        <w:t>All flanges, nozzles, sharp corners, dents, and wall offsets &gt;3 mm smoothed with Technowrap profiling compound (Technoseal Epoxy Putty, Titanium Putty, or similar). Profiling compound treated as a defect — if larger than design calculation, ICR notified for redesign.</w:t>
      </w:r>
    </w:p>
    <w:p>
      <w:pPr>
        <w:spacing w:after="80" w:line="260" w:lineRule="exact"/>
      </w:pPr>
      <w:r>
        <w:rPr>
          <w:rFonts w:ascii="Arial Narrow" w:hAnsi="Arial Narrow"/>
          <w:b/>
          <w:color w:val="00A85D"/>
          <w:sz w:val="19"/>
        </w:rPr>
        <w:t xml:space="preserve">5. </w:t>
      </w:r>
      <w:r>
        <w:rPr>
          <w:rFonts w:ascii="Arial Narrow" w:hAnsi="Arial Narrow"/>
          <w:b/>
          <w:sz w:val="19"/>
        </w:rPr>
        <w:t xml:space="preserve">Substrate &amp; Cloth Lay-up: </w:t>
      </w:r>
      <w:r>
        <w:rPr>
          <w:rFonts w:ascii="Arial Narrow" w:hAnsi="Arial Narrow"/>
          <w:color w:val="333333"/>
          <w:sz w:val="19"/>
        </w:rPr>
        <w:t>Apply Technowrap 2K Substrate (12") as bonding layer. Pour mixed resin onto cloth, spread evenly with spreader, work in with corrugated roller. Apply +45 side down, 90° fibres around circumference. Each layer offset by ≥75 mm (brickwork pattern). First 2 layers applied onto wet gel coat.</w:t>
      </w:r>
    </w:p>
    <w:p>
      <w:pPr>
        <w:spacing w:after="80" w:line="260" w:lineRule="exact"/>
      </w:pPr>
      <w:r>
        <w:rPr>
          <w:rFonts w:ascii="Arial Narrow" w:hAnsi="Arial Narrow"/>
          <w:b/>
          <w:color w:val="00A85D"/>
          <w:sz w:val="19"/>
        </w:rPr>
        <w:t xml:space="preserve">6. </w:t>
      </w:r>
      <w:r>
        <w:rPr>
          <w:rFonts w:ascii="Arial Narrow" w:hAnsi="Arial Narrow"/>
          <w:b/>
          <w:sz w:val="19"/>
        </w:rPr>
        <w:t xml:space="preserve">Compression: </w:t>
      </w:r>
      <w:r>
        <w:rPr>
          <w:rFonts w:ascii="Arial Narrow" w:hAnsi="Arial Narrow"/>
          <w:color w:val="333333"/>
          <w:sz w:val="19"/>
        </w:rPr>
        <w:t>After every 2–3 layers, compress repair using stricture tape — start from centre, spiral to one edge with 50% overlap, then centre to other edge. Forces air pockets and resin-rich areas out. Peel ply applied between compression cycles to provide keyed surface for next layers.</w:t>
      </w:r>
    </w:p>
    <w:p>
      <w:pPr>
        <w:spacing w:after="80" w:line="260" w:lineRule="exact"/>
      </w:pPr>
      <w:r>
        <w:rPr>
          <w:rFonts w:ascii="Arial Narrow" w:hAnsi="Arial Narrow"/>
          <w:b/>
          <w:color w:val="00A85D"/>
          <w:sz w:val="19"/>
        </w:rPr>
        <w:t xml:space="preserve">7. </w:t>
      </w:r>
      <w:r>
        <w:rPr>
          <w:rFonts w:ascii="Arial Narrow" w:hAnsi="Arial Narrow"/>
          <w:b/>
          <w:sz w:val="19"/>
        </w:rPr>
        <w:t xml:space="preserve">Inter-layer Curing: </w:t>
      </w:r>
      <w:r>
        <w:rPr>
          <w:rFonts w:ascii="Arial Narrow" w:hAnsi="Arial Narrow"/>
          <w:color w:val="333333"/>
          <w:sz w:val="19"/>
        </w:rPr>
        <w:t>Each group of layers cured until dry to touch, does not indent when pressed with fingernail. QC inspection between each application cycle.</w:t>
      </w:r>
    </w:p>
    <w:p>
      <w:pPr>
        <w:spacing w:after="80" w:line="260" w:lineRule="exact"/>
      </w:pPr>
      <w:r>
        <w:rPr>
          <w:rFonts w:ascii="Arial Narrow" w:hAnsi="Arial Narrow"/>
          <w:b/>
          <w:color w:val="00A85D"/>
          <w:sz w:val="19"/>
        </w:rPr>
        <w:t xml:space="preserve">8. </w:t>
      </w:r>
      <w:r>
        <w:rPr>
          <w:rFonts w:ascii="Arial Narrow" w:hAnsi="Arial Narrow"/>
          <w:b/>
          <w:sz w:val="19"/>
        </w:rPr>
        <w:t xml:space="preserve">Final Cure Verification: </w:t>
      </w:r>
      <w:r>
        <w:rPr>
          <w:rFonts w:ascii="Arial Narrow" w:hAnsi="Arial Narrow"/>
          <w:color w:val="333333"/>
          <w:sz w:val="19"/>
        </w:rPr>
        <w:t>Barcol Hardness testing at 16 locations (minimum target: 35 across all points). Confirms full structural properties achieved. Cure time dependent on resin system and ambient temperature — see cure schedule.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4114800" cy="216027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chnowrap_composite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1602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Arial Narrow" w:hAnsi="Arial Narrow"/>
          <w:i/>
          <w:color w:val="00A85D"/>
          <w:sz w:val="16"/>
        </w:rPr>
        <w:t>Figure 3: Completed Composite Repair — Inspection &amp; QC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Resin Cure Schedule (Reference)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Cure times are indicative and depend on ambient temperature, humidity, and substrate temperature. Barcol hardness readings confirm final cure.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Temp (°C)</w:t>
            </w:r>
          </w:p>
        </w:tc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Pot Life (min)</w:t>
            </w:r>
          </w:p>
        </w:tc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Partial Cure (hrs)</w:t>
            </w:r>
          </w:p>
        </w:tc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Full Cure (hrs)</w:t>
            </w:r>
          </w:p>
        </w:tc>
      </w:tr>
      <w:tr>
        <w:tc>
          <w:tcPr>
            <w:tcW w:type="dxa" w:w="2409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45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4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0.25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6</w:t>
            </w:r>
          </w:p>
        </w:tc>
      </w:tr>
      <w:tr>
        <w:tc>
          <w:tcPr>
            <w:tcW w:type="dxa" w:w="2409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35</w:t>
            </w:r>
          </w:p>
        </w:tc>
        <w:tc>
          <w:tcPr>
            <w:tcW w:type="dxa" w:w="2409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8</w:t>
            </w:r>
          </w:p>
        </w:tc>
        <w:tc>
          <w:tcPr>
            <w:tcW w:type="dxa" w:w="2409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0.5</w:t>
            </w:r>
          </w:p>
        </w:tc>
        <w:tc>
          <w:tcPr>
            <w:tcW w:type="dxa" w:w="2409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12</w:t>
            </w:r>
          </w:p>
        </w:tc>
      </w:tr>
      <w:tr>
        <w:tc>
          <w:tcPr>
            <w:tcW w:type="dxa" w:w="2409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25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15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0.75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24</w:t>
            </w:r>
          </w:p>
        </w:tc>
      </w:tr>
      <w:tr>
        <w:tc>
          <w:tcPr>
            <w:tcW w:type="dxa" w:w="2409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15</w:t>
            </w:r>
          </w:p>
        </w:tc>
        <w:tc>
          <w:tcPr>
            <w:tcW w:type="dxa" w:w="2409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30</w:t>
            </w:r>
          </w:p>
        </w:tc>
        <w:tc>
          <w:tcPr>
            <w:tcW w:type="dxa" w:w="2409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1</w:t>
            </w:r>
          </w:p>
        </w:tc>
        <w:tc>
          <w:tcPr>
            <w:tcW w:type="dxa" w:w="2409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48</w:t>
            </w:r>
          </w:p>
        </w:tc>
      </w:tr>
      <w:tr>
        <w:tc>
          <w:tcPr>
            <w:tcW w:type="dxa" w:w="2409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5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60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3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center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96</w:t>
            </w:r>
          </w:p>
        </w:tc>
      </w:tr>
    </w:tbl>
    <w:p>
      <w:r>
        <w:rPr>
          <w:rFonts w:ascii="Arial Narrow" w:hAnsi="Arial Narrow"/>
          <w:i/>
          <w:color w:val="666666"/>
          <w:sz w:val="16"/>
        </w:rPr>
        <w:t>Table: LT &amp; Potable Resin cure schedule. For HA, HT, DRS, Splashzone and Glycol resins, refer to ICR-BMS-01-OPS-PRO-004.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2.4 Phase 4 — Additional Repairs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⟨ If nozzle repairs or additional areas: Same Technowrap™ 2K methodology, but with layer count per specific WTR design calculation for each geometry. ⟩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2.5 Phase 5 — Documentation &amp; Demobilisation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Final as-built documentation: application records, QC records, Barcol test results, material certificates, updated corrosion maps.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Hand over Work Completion Certificate (WCC) and close-out report.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Demobilise all personnel and equipment.</w:t>
      </w:r>
    </w:p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3. MATERIAL REQUIREMENTS</w:t>
            </w:r>
          </w:p>
        </w:tc>
      </w:tr>
    </w:tbl>
    <w:p/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All composite materials sourced through ICR Integrity, certified for offshore structural repair. Quantities calculated per identified repair areas and applicable design specifications.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3.1 ICR Materials — ⟨ Area Description ⟩</w:t>
      </w:r>
    </w:p>
    <w:p>
      <w:pPr>
        <w:spacing w:after="80"/>
      </w:pPr>
      <w:r>
        <w:rPr>
          <w:rFonts w:ascii="Arial Narrow" w:hAnsi="Arial Narrow"/>
          <w:i/>
          <w:color w:val="E65100"/>
          <w:sz w:val="18"/>
        </w:rPr>
        <w:t>⟨ CUSTOMIZE QUANTITIES PER WTR DESIGN CALCULATION 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Material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Unit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Rate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Qty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Total (USD)</w:t>
            </w:r>
          </w:p>
        </w:tc>
      </w:tr>
      <w:tr>
        <w:tc>
          <w:tcPr>
            <w:tcW w:type="dxa" w:w="1928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Technowrap 2K Substrate — 12"</w:t>
            </w:r>
          </w:p>
        </w:tc>
        <w:tc>
          <w:tcPr>
            <w:tcW w:type="dxa" w:w="1928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Kg</w:t>
            </w:r>
          </w:p>
        </w:tc>
        <w:tc>
          <w:tcPr>
            <w:tcW w:type="dxa" w:w="1928"/>
            <w:shd w:fill="F5F5F5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XXX.XX</w:t>
            </w:r>
          </w:p>
        </w:tc>
        <w:tc>
          <w:tcPr>
            <w:tcW w:type="dxa" w:w="1928"/>
            <w:shd w:fill="F5F5F5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XXX</w:t>
            </w:r>
          </w:p>
        </w:tc>
        <w:tc>
          <w:tcPr>
            <w:tcW w:type="dxa" w:w="1928"/>
            <w:shd w:fill="F5F5F5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XX,XXX.XX</w:t>
            </w:r>
          </w:p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Technowrap LT Resin Part A</w:t>
            </w:r>
          </w:p>
        </w:tc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Kg</w:t>
            </w:r>
          </w:p>
        </w:tc>
        <w:tc>
          <w:tcPr>
            <w:tcW w:type="dxa" w:w="1928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XXX.XX</w:t>
            </w:r>
          </w:p>
        </w:tc>
        <w:tc>
          <w:tcPr>
            <w:tcW w:type="dxa" w:w="1928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XXX</w:t>
            </w:r>
          </w:p>
        </w:tc>
        <w:tc>
          <w:tcPr>
            <w:tcW w:type="dxa" w:w="1928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XX,XXX.XX</w:t>
            </w:r>
          </w:p>
        </w:tc>
      </w:tr>
      <w:tr>
        <w:tc>
          <w:tcPr>
            <w:tcW w:type="dxa" w:w="1928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Technowrap HA Resin Part B</w:t>
            </w:r>
          </w:p>
        </w:tc>
        <w:tc>
          <w:tcPr>
            <w:tcW w:type="dxa" w:w="1928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Kg</w:t>
            </w:r>
          </w:p>
        </w:tc>
        <w:tc>
          <w:tcPr>
            <w:tcW w:type="dxa" w:w="1928"/>
            <w:shd w:fill="F5F5F5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X,XXX.XX</w:t>
            </w:r>
          </w:p>
        </w:tc>
        <w:tc>
          <w:tcPr>
            <w:tcW w:type="dxa" w:w="1928"/>
            <w:shd w:fill="F5F5F5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XX</w:t>
            </w:r>
          </w:p>
        </w:tc>
        <w:tc>
          <w:tcPr>
            <w:tcW w:type="dxa" w:w="1928"/>
            <w:shd w:fill="F5F5F5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XX,XXX.XX</w:t>
            </w:r>
          </w:p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Consumables for wrapping application</w:t>
            </w:r>
          </w:p>
        </w:tc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Ea</w:t>
            </w:r>
          </w:p>
        </w:tc>
        <w:tc>
          <w:tcPr>
            <w:tcW w:type="dxa" w:w="1928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XX,XXX.XX</w:t>
            </w:r>
          </w:p>
        </w:tc>
        <w:tc>
          <w:tcPr>
            <w:tcW w:type="dxa" w:w="1928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1</w:t>
            </w:r>
          </w:p>
        </w:tc>
        <w:tc>
          <w:tcPr>
            <w:tcW w:type="dxa" w:w="1928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XX,XXX.XX</w:t>
            </w:r>
          </w:p>
        </w:tc>
      </w:tr>
    </w:tbl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3.2 Surface Preparation Consumables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Material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Unit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Rate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Qty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Total (USD)</w:t>
            </w:r>
          </w:p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Blasting Abrasive</w:t>
            </w:r>
          </w:p>
        </w:tc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Kg</w:t>
            </w:r>
          </w:p>
        </w:tc>
        <w:tc>
          <w:tcPr>
            <w:tcW w:type="dxa" w:w="1928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X.XX</w:t>
            </w:r>
          </w:p>
        </w:tc>
        <w:tc>
          <w:tcPr>
            <w:tcW w:type="dxa" w:w="1928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X,XXX</w:t>
            </w:r>
          </w:p>
        </w:tc>
        <w:tc>
          <w:tcPr>
            <w:tcW w:type="dxa" w:w="1928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XX,XXX.XX</w:t>
            </w:r>
          </w:p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MBX Bristle Blasters (23mm CS)</w:t>
            </w:r>
          </w:p>
        </w:tc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Each</w:t>
            </w:r>
          </w:p>
        </w:tc>
        <w:tc>
          <w:tcPr>
            <w:tcW w:type="dxa" w:w="1928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XXX.XX</w:t>
            </w:r>
          </w:p>
        </w:tc>
        <w:tc>
          <w:tcPr>
            <w:tcW w:type="dxa" w:w="1928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XX</w:t>
            </w:r>
          </w:p>
        </w:tc>
        <w:tc>
          <w:tcPr>
            <w:tcW w:type="dxa" w:w="1928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X,XXX.XX</w:t>
            </w:r>
          </w:p>
        </w:tc>
      </w:tr>
    </w:tbl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Material lead time: 2 weeks from order confirmation. Manpower lead time: 3 weeks from contract award.</w:t>
      </w:r>
    </w:p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4. SCHEDULE AND MANPOWER</w:t>
            </w:r>
          </w:p>
        </w:tc>
      </w:tr>
    </w:tbl>
    <w:p/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4.1 Execution Schedule (⟨XX⟩ working days)</w:t>
      </w:r>
    </w:p>
    <w:p>
      <w:pPr>
        <w:spacing w:after="80"/>
      </w:pPr>
      <w:r>
        <w:rPr>
          <w:rFonts w:ascii="Arial Narrow" w:hAnsi="Arial Narrow"/>
          <w:i/>
          <w:color w:val="E65100"/>
          <w:sz w:val="18"/>
        </w:rPr>
        <w:t>⟨ ADJUST PHASES AND DURATIONS PER PROJECT SCOPE 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Phase</w:t>
            </w:r>
          </w:p>
        </w:tc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Activity</w:t>
            </w:r>
          </w:p>
        </w:tc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Duration</w:t>
            </w:r>
          </w:p>
        </w:tc>
        <w:tc>
          <w:tcPr>
            <w:tcW w:type="dxa" w:w="2409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Days</w:t>
            </w:r>
          </w:p>
        </w:tc>
      </w:tr>
      <w:tr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1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Mobilisation &amp; Site Setup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X days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Day 1–X</w:t>
            </w:r>
          </w:p>
        </w:tc>
      </w:tr>
      <w:tr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2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Cleaning, Surface Prep &amp; UTM Inspection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X days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Day X–X</w:t>
            </w:r>
          </w:p>
        </w:tc>
      </w:tr>
      <w:tr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3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Composite Repair — ⟨Area 1⟩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X days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Day X–X</w:t>
            </w:r>
          </w:p>
        </w:tc>
      </w:tr>
      <w:tr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4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Composite Repair — ⟨Area 2⟩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X days</w:t>
            </w:r>
          </w:p>
        </w:tc>
        <w:tc>
          <w:tcPr>
            <w:tcW w:type="dxa" w:w="2409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Day X–X</w:t>
            </w:r>
          </w:p>
        </w:tc>
      </w:tr>
      <w:tr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5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Documentation &amp; Demobilisation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X days</w:t>
            </w:r>
          </w:p>
        </w:tc>
        <w:tc>
          <w:tcPr>
            <w:tcW w:type="dxa" w:w="2409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Day X–X</w:t>
            </w:r>
          </w:p>
        </w:tc>
      </w:tr>
    </w:tbl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4.2 Team Composition (⟨X⟩ PAX)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A qualified and experienced team will be mobilised to execute all operations in compliance with applicable legislation and offshore safety requirements.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Function</w:t>
            </w:r>
          </w:p>
        </w:tc>
        <w:tc>
          <w:tcPr>
            <w:tcW w:type="dxa" w:w="1377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Nat.</w:t>
            </w:r>
          </w:p>
        </w:tc>
        <w:tc>
          <w:tcPr>
            <w:tcW w:type="dxa" w:w="1377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UoM</w:t>
            </w:r>
          </w:p>
        </w:tc>
        <w:tc>
          <w:tcPr>
            <w:tcW w:type="dxa" w:w="1377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Loc.</w:t>
            </w:r>
          </w:p>
        </w:tc>
        <w:tc>
          <w:tcPr>
            <w:tcW w:type="dxa" w:w="1377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Rate</w:t>
            </w:r>
          </w:p>
        </w:tc>
        <w:tc>
          <w:tcPr>
            <w:tcW w:type="dxa" w:w="1377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Qty</w:t>
            </w:r>
          </w:p>
        </w:tc>
        <w:tc>
          <w:tcPr>
            <w:tcW w:type="dxa" w:w="1377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Duration</w:t>
            </w:r>
          </w:p>
        </w:tc>
      </w:tr>
      <w:tr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Supervisor — Composite Repair Applicator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Expat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XX</w:t>
            </w:r>
          </w:p>
        </w:tc>
      </w:tr>
      <w:tr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Skilled — Composite Repair Applicator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National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XX</w:t>
            </w:r>
          </w:p>
        </w:tc>
      </w:tr>
      <w:tr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UHP Technician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Expat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XX</w:t>
            </w:r>
          </w:p>
        </w:tc>
      </w:tr>
      <w:tr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Skilled — UHP Operator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National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XX</w:t>
            </w:r>
          </w:p>
        </w:tc>
      </w:tr>
      <w:tr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Multi-Discipline NDT Inspector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Expat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</w:t>
            </w:r>
          </w:p>
        </w:tc>
        <w:tc>
          <w:tcPr>
            <w:tcW w:type="dxa" w:w="1377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</w:t>
            </w:r>
          </w:p>
        </w:tc>
      </w:tr>
      <w:tr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Skilled — NDT Assistant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National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Day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Offshore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$ XXX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</w:t>
            </w:r>
          </w:p>
        </w:tc>
        <w:tc>
          <w:tcPr>
            <w:tcW w:type="dxa" w:w="1377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X</w:t>
            </w: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5. QUALITY, HEALTH AND SAFETY MANAGEMENT</w:t>
            </w:r>
          </w:p>
        </w:tc>
      </w:tr>
    </w:tbl>
    <w:p/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AYEWO ATUNṢE maintains an integrated QHSE Management System. All composite works are performed per ABS classification requirements and ICR application procedures.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Comprehensive risk assessment and Job Safety Analysis (JSA) for all activities.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Daily toolbox talks and pre-task briefings.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Compliance with client HSE requirements and work permit system.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All personnel offshore-certified (BOSIET/HUET, OGUK Medical).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All composite works per ABS classification requirements and ICR application procedures.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Documentation Deliverables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Method Statement &amp; execution schedule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Risk Assessment &amp; JSA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Daily progress reports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UTM inspection report with corrosion mapping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Composite repair application records (per area)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Material certificates with batch traceability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Barcol Hardness test records (16-point grid)</w:t>
      </w:r>
    </w:p>
    <w:p>
      <w:pPr>
        <w:pStyle w:val="ListBullet"/>
        <w:spacing w:after="40"/>
      </w:pPr>
      <w:r>
        <w:rPr>
          <w:rFonts w:ascii="Arial Narrow" w:hAnsi="Arial Narrow"/>
          <w:color w:val="333333"/>
          <w:sz w:val="19"/>
        </w:rPr>
        <w:t>Final Work Completion Certificate (WCC)</w:t>
      </w:r>
    </w:p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6. COMMERCIAL PROPOSAL</w:t>
            </w:r>
          </w:p>
        </w:tc>
      </w:tr>
    </w:tbl>
    <w:p/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SOW: ⟨ Repeat scope summary — one line ⟩</w:t>
      </w:r>
    </w:p>
    <w:p>
      <w:pPr>
        <w:spacing w:after="80"/>
      </w:pPr>
      <w:r>
        <w:rPr>
          <w:rFonts w:ascii="Arial Narrow" w:hAnsi="Arial Narrow"/>
          <w:i/>
          <w:color w:val="E65100"/>
          <w:sz w:val="18"/>
        </w:rPr>
        <w:t>⟨ FILL IN ALL RATES, QUANTITIES AND DURATIONS ⟩</w:t>
      </w:r>
    </w:p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Personnel Rates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Function</w:t>
            </w:r>
          </w:p>
        </w:tc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Nat.</w:t>
            </w:r>
          </w:p>
        </w:tc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UoM</w:t>
            </w:r>
          </w:p>
        </w:tc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Loc.</w:t>
            </w:r>
          </w:p>
        </w:tc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Rate</w:t>
            </w:r>
          </w:p>
        </w:tc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Qty</w:t>
            </w:r>
          </w:p>
        </w:tc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Duration</w:t>
            </w:r>
          </w:p>
        </w:tc>
        <w:tc>
          <w:tcPr>
            <w:tcW w:type="dxa" w:w="1205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Total</w:t>
            </w:r>
          </w:p>
        </w:tc>
      </w:tr>
      <w:tr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</w:tr>
      <w:tr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</w:tr>
      <w:tr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</w:tr>
      <w:tr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</w:tr>
      <w:tr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</w:tr>
      <w:tr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Personnel Rates Subtotal:</w:t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</w:r>
          </w:p>
        </w:tc>
        <w:tc>
          <w:tcPr>
            <w:tcW w:type="dxa" w:w="1205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$ XXX,XXX.XX</w:t>
            </w:r>
          </w:p>
        </w:tc>
      </w:tr>
    </w:tbl>
    <w:p/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Set-Up, Mobilisation &amp; Accommodation Rates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Description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UoM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Rate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Qty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Duration</w:t>
            </w:r>
          </w:p>
        </w:tc>
        <w:tc>
          <w:tcPr>
            <w:tcW w:type="dxa" w:w="1606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Total</w:t>
            </w:r>
          </w:p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Mobilisation &amp; Accommodation Rates Subtotal:</w:t>
            </w:r>
          </w:p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$ XX,XXX.XX</w:t>
            </w:r>
          </w:p>
        </w:tc>
      </w:tr>
    </w:tbl>
    <w:p/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Equipment Rates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Description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UoM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Rate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Duration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Total</w:t>
            </w:r>
          </w:p>
        </w:tc>
      </w:tr>
      <w:tr>
        <w:tc>
          <w:tcPr>
            <w:tcW w:type="dxa" w:w="1928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QC Inspection Kit for Technowrap</w:t>
            </w:r>
          </w:p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Pneumatic MBX Bristle Blaster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Blast Pot</w:t>
            </w:r>
          </w:p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1" Airhose (20m)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UHP Machine 40k</w:t>
            </w:r>
          </w:p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Equipment Rates Subtotal: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$ XX,XXX.XX</w:t>
            </w:r>
          </w:p>
        </w:tc>
      </w:tr>
    </w:tbl>
    <w:p/>
    <w:p>
      <w:pPr>
        <w:spacing w:before="160" w:after="80"/>
      </w:pPr>
      <w:r>
        <w:rPr>
          <w:rFonts w:ascii="Arial Narrow" w:hAnsi="Arial Narrow"/>
          <w:b/>
          <w:color w:val="008751"/>
          <w:sz w:val="22"/>
        </w:rPr>
        <w:t>Consumable Rates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Description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UoM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Rate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Qty</w:t>
            </w:r>
          </w:p>
        </w:tc>
        <w:tc>
          <w:tcPr>
            <w:tcW w:type="dxa" w:w="1928"/>
            <w:shd w:fill="00A85D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FFFFFF"/>
                <w:sz w:val="16"/>
              </w:rPr>
              <w:t>Total</w:t>
            </w:r>
          </w:p>
        </w:tc>
      </w:tr>
      <w:tr>
        <w:tc>
          <w:tcPr>
            <w:tcW w:type="dxa" w:w="1928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Blasting Abrasive</w:t>
            </w:r>
          </w:p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MBX Bristle Blasters (23mm CS)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ICR — Technowrap 2K Substrate — 12"</w:t>
            </w:r>
          </w:p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ICR — Technowrap LT Resin Part A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  <w:shd w:fill="F5F5F5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ICR — Technowrap HA Resin Part B</w:t>
            </w:r>
          </w:p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  <w:tc>
          <w:tcPr>
            <w:tcW w:type="dxa" w:w="1928"/>
            <w:shd w:fill="F5F5F5"/>
          </w:tcPr>
          <w:p/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 w:val="0"/>
                <w:color w:val="1A1A1A"/>
                <w:sz w:val="16"/>
              </w:rPr>
              <w:t>ICR — Consumables for wrapping application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</w:tcPr>
          <w:p>
            <w:pPr>
              <w:spacing w:before="40" w:after="40"/>
              <w:jc w:val="lef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Consumable Rates Subtotal: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/>
                <w:color w:val="1A1A1A"/>
                <w:sz w:val="18"/>
              </w:rPr>
              <w:t>$ XXX,XXX.XX</w:t>
            </w:r>
          </w:p>
        </w:tc>
      </w:tr>
      <w:tr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Personnel Rates:</w:t>
            </w:r>
          </w:p>
        </w:tc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XXX,XXX.XX</w:t>
            </w:r>
          </w:p>
        </w:tc>
      </w:tr>
      <w:tr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Set-Up, Mobilisation &amp; Accommodation Rates:</w:t>
            </w:r>
          </w:p>
        </w:tc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XX,XXX.XX</w:t>
            </w:r>
          </w:p>
        </w:tc>
      </w:tr>
      <w:tr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Equipment Rates:</w:t>
            </w:r>
          </w:p>
        </w:tc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XX,XXX.XX</w:t>
            </w:r>
          </w:p>
        </w:tc>
      </w:tr>
      <w:tr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Consumable Rates:</w:t>
            </w:r>
          </w:p>
        </w:tc>
        <w:tc>
          <w:tcPr>
            <w:tcW w:type="dxa" w:w="4819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 w:val="0"/>
                <w:color w:val="1A1A1A"/>
                <w:sz w:val="18"/>
              </w:rPr>
              <w:t>$ XXX,XXX.XX</w:t>
            </w:r>
          </w:p>
        </w:tc>
      </w:tr>
      <w:tr>
        <w:tc>
          <w:tcPr>
            <w:tcW w:type="dxa" w:w="4819"/>
          </w:tcPr>
          <w:p>
            <w:r/>
          </w:p>
        </w:tc>
        <w:tc>
          <w:tcPr>
            <w:tcW w:type="dxa" w:w="4819"/>
          </w:tcPr>
          <w:p/>
        </w:tc>
      </w:tr>
      <w:tr>
        <w:tc>
          <w:tcPr>
            <w:tcW w:type="dxa" w:w="4819"/>
            <w:shd w:fill="00A85D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/>
                <w:color w:val="FFFFFF"/>
                <w:sz w:val="24"/>
              </w:rPr>
              <w:t>TOTAL:</w:t>
            </w:r>
          </w:p>
        </w:tc>
        <w:tc>
          <w:tcPr>
            <w:tcW w:type="dxa" w:w="4819"/>
            <w:shd w:fill="00A85D"/>
          </w:tcPr>
          <w:p>
            <w:pPr>
              <w:spacing w:before="40" w:after="40"/>
              <w:jc w:val="right"/>
            </w:pPr>
            <w:r/>
            <w:r>
              <w:rPr>
                <w:rFonts w:ascii="Arial Narrow" w:hAnsi="Arial Narrow"/>
                <w:b/>
                <w:color w:val="FFFFFF"/>
                <w:sz w:val="24"/>
              </w:rPr>
              <w:t>$ XXX,XXX.XX</w:t>
            </w: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00A85D"/>
          </w:tcPr>
          <w:p>
            <w:pPr>
              <w:spacing w:before="80" w:after="80"/>
            </w:pPr>
            <w:r>
              <w:rPr>
                <w:rFonts w:ascii="Arial Narrow" w:hAnsi="Arial Narrow"/>
                <w:b/>
                <w:color w:val="FFFFFF"/>
                <w:sz w:val="24"/>
              </w:rPr>
              <w:t>7. TERMS AND CONDITIONS</w:t>
            </w:r>
          </w:p>
        </w:tc>
      </w:tr>
    </w:tbl>
    <w:p/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This quote is subject to our Standard Terms &amp; Conditions available on request.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Duration is estimated and indicative; billing based on actual worked time.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Personnel and Equipment rates begin on mobilisation day, end on return to origin.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Final payment after sign-off of Work Completion Certificate (WCC) or Delivery Note.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Cost variations after expiry will be justified and passed onto the price.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Excludes all applicable taxes.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Material lead time — 2 Weeks.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Manpower lead time — 3 Weeks.</w:t>
      </w:r>
    </w:p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– Offer validity — 30 days from date of submission.</w:t>
      </w:r>
    </w:p>
    <w:p/>
    <w:p/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Thank you for this opportunity.</w:t>
      </w:r>
    </w:p>
    <w:p/>
    <w:p>
      <w:pPr>
        <w:spacing w:after="120" w:line="280" w:lineRule="exact"/>
      </w:pPr>
      <w:r>
        <w:rPr>
          <w:rFonts w:ascii="Arial Narrow" w:hAnsi="Arial Narrow"/>
          <w:color w:val="333333"/>
          <w:sz w:val="19"/>
        </w:rPr>
        <w:t>Yours sincerely,</w:t>
      </w:r>
    </w:p>
    <w:p/>
    <w:p/>
    <w:p>
      <w:r>
        <w:rPr>
          <w:rFonts w:ascii="Arial Narrow" w:hAnsi="Arial Narrow"/>
          <w:sz w:val="20"/>
        </w:rPr>
        <w:t>Name: ________________________________</w:t>
      </w:r>
    </w:p>
    <w:p>
      <w:r>
        <w:rPr>
          <w:rFonts w:ascii="Arial Narrow" w:hAnsi="Arial Narrow"/>
          <w:sz w:val="20"/>
        </w:rPr>
        <w:t>Title: AIS Department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85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 Narrow" w:hAnsi="Arial Narrow"/>
        <w:color w:val="666666"/>
        <w:sz w:val="13"/>
      </w:rPr>
      <w:t>This document is the property of AYEWO ATUNṢE Oil &amp; Gas Services Ltd. It must not be stored, reproduced, or disclosed without written authorization.</w:t>
      <w:br/>
    </w:r>
    <w:r>
      <w:rPr>
        <w:rFonts w:ascii="Arial Narrow" w:hAnsi="Arial Narrow"/>
        <w:color w:val="666666"/>
        <w:sz w:val="13"/>
      </w:rPr>
      <w:t>AYEWO ATUNṢE Oil &amp; Gas Services Ltd — 28 Sikiru Oloko Alade Street, Off Adebayo Doherty, Lagos, NIGERIA — RC 9477114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</w:tblPr>
    <w:tblGrid>
      <w:gridCol w:w="3213"/>
      <w:gridCol w:w="3213"/>
      <w:gridCol w:w="3213"/>
    </w:tblGrid>
    <w:tr>
      <w:tc>
        <w:tcPr>
          <w:tcW w:type="dxa" w:w="3402"/>
        </w:tcPr>
        <w:p>
          <w:r>
            <w:drawing>
              <wp:inline xmlns:a="http://schemas.openxmlformats.org/drawingml/2006/main" xmlns:pic="http://schemas.openxmlformats.org/drawingml/2006/picture">
                <wp:extent cx="1800000" cy="3735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ayewo_logo_on_whit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3735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835"/>
        </w:tcPr>
        <w:p>
          <w:pPr>
            <w:jc w:val="center"/>
          </w:pPr>
          <w:r>
            <w:rPr>
              <w:rFonts w:ascii="Arial Narrow" w:hAnsi="Arial Narrow"/>
              <w:color w:val="666666"/>
              <w:sz w:val="15"/>
            </w:rPr>
            <w:t>Asset Integrity Solutions</w:t>
            <w:br/>
            <w:t>Technical &amp; Commercial Proposal</w:t>
          </w:r>
        </w:p>
      </w:tc>
      <w:tc>
        <w:tcPr>
          <w:tcW w:type="dxa" w:w="3402"/>
        </w:tcPr>
        <w:p/>
        <w:tbl>
          <w:tblPr>
            <w:tblW w:type="auto" w:w="0"/>
            <w:tblLook w:firstColumn="1" w:firstRow="1" w:lastColumn="0" w:lastRow="0" w:noHBand="0" w:noVBand="1" w:val="04A0"/>
          </w:tblPr>
          <w:tblGrid>
            <w:gridCol w:w="1701"/>
            <w:gridCol w:w="1701"/>
          </w:tblGrid>
          <w:tr>
            <w:tc>
              <w:tcPr>
                <w:tcW w:type="dxa" w:w="1701"/>
                <w:shd w:fill="F5F5F5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666666"/>
                    <w:sz w:val="14"/>
                  </w:rPr>
                  <w:t>Document No.</w:t>
                </w:r>
              </w:p>
            </w:tc>
            <w:tc>
              <w:tcPr>
                <w:tcW w:type="dxa" w:w="1701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00A85D"/>
                    <w:sz w:val="14"/>
                  </w:rPr>
                  <w:t>AA-XXXX-AIS-COM-01</w:t>
                </w:r>
              </w:p>
            </w:tc>
          </w:tr>
          <w:tr>
            <w:tc>
              <w:tcPr>
                <w:tcW w:type="dxa" w:w="1701"/>
                <w:shd w:fill="F5F5F5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666666"/>
                    <w:sz w:val="14"/>
                  </w:rPr>
                  <w:t>Revision No.</w:t>
                </w:r>
              </w:p>
            </w:tc>
            <w:tc>
              <w:tcPr>
                <w:tcW w:type="dxa" w:w="1701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00A85D"/>
                    <w:sz w:val="14"/>
                  </w:rPr>
                  <w:t>XX</w:t>
                </w:r>
              </w:p>
            </w:tc>
          </w:tr>
          <w:tr>
            <w:tc>
              <w:tcPr>
                <w:tcW w:type="dxa" w:w="1701"/>
                <w:shd w:fill="F5F5F5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666666"/>
                    <w:sz w:val="14"/>
                  </w:rPr>
                  <w:t>Date</w:t>
                </w:r>
              </w:p>
            </w:tc>
            <w:tc>
              <w:tcPr>
                <w:tcW w:type="dxa" w:w="1701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00A85D"/>
                    <w:sz w:val="14"/>
                  </w:rPr>
                  <w:t>DD-MMM-YYYY</w:t>
                </w:r>
              </w:p>
            </w:tc>
          </w:tr>
          <w:tr>
            <w:tc>
              <w:tcPr>
                <w:tcW w:type="dxa" w:w="1701"/>
                <w:shd w:fill="F5F5F5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666666"/>
                    <w:sz w:val="14"/>
                  </w:rPr>
                  <w:t>Page</w:t>
                </w:r>
              </w:p>
            </w:tc>
            <w:tc>
              <w:tcPr>
                <w:tcW w:type="dxa" w:w="1701"/>
              </w:tcPr>
              <w:p>
                <w:pPr>
                  <w:spacing w:before="40" w:after="40"/>
                  <w:jc w:val="left"/>
                </w:pPr>
                <w:r/>
                <w:r>
                  <w:rPr>
                    <w:rFonts w:ascii="Arial Narrow" w:hAnsi="Arial Narrow"/>
                    <w:b/>
                    <w:color w:val="00A85D"/>
                    <w:sz w:val="14"/>
                  </w:rPr>
                </w:r>
              </w:p>
            </w:tc>
          </w:tr>
        </w:tbl>
        <w:p/>
      </w:tc>
    </w:tr>
  </w:tbl>
  <w:p>
    <w:pPr>
      <w:spacing w:before="40" w:after="0"/>
      <w:pBdr>
        <w:bottom w:val="single" w:sz="12" w:space="1" w:color="00A85D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Relationship Id="rId12" Type="http://schemas.openxmlformats.org/officeDocument/2006/relationships/image" Target="media/image1.png"/><Relationship Id="rId13" Type="http://schemas.openxmlformats.org/officeDocument/2006/relationships/image" Target="media/image3.jpg"/><Relationship Id="rId14" Type="http://schemas.openxmlformats.org/officeDocument/2006/relationships/image" Target="media/image4.jpg"/><Relationship Id="rId15" Type="http://schemas.openxmlformats.org/officeDocument/2006/relationships/image" Target="media/image5.jp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